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BE" w:rsidRPr="00BE35C0" w:rsidRDefault="00211339" w:rsidP="003541F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Bemerkninger til e</w:t>
      </w:r>
      <w:r w:rsidR="001622F2" w:rsidRPr="00BE35C0">
        <w:rPr>
          <w:rFonts w:asciiTheme="minorHAnsi" w:hAnsiTheme="minorHAnsi"/>
        </w:rPr>
        <w:t>ndringer i andre lover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B367D5">
        <w:rPr>
          <w:rFonts w:asciiTheme="minorHAnsi" w:hAnsiTheme="minorHAnsi" w:cs="Helvetica"/>
        </w:rPr>
        <w:t>LOV 1898-11-28 nr 00: Lov om Umyndiggjørelse</w:t>
      </w:r>
    </w:p>
    <w:p w:rsidR="00C36B0E" w:rsidRDefault="00F64001" w:rsidP="00EB412D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Til </w:t>
      </w:r>
      <w:r w:rsidR="00C36B0E">
        <w:rPr>
          <w:rFonts w:asciiTheme="minorHAnsi" w:hAnsiTheme="minorHAnsi" w:cs="Helvetica"/>
        </w:rPr>
        <w:t>§ 14</w:t>
      </w:r>
    </w:p>
    <w:p w:rsidR="00C36B0E" w:rsidRDefault="006526B9" w:rsidP="00F64001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52495D">
        <w:rPr>
          <w:rFonts w:asciiTheme="minorHAnsi" w:hAnsiTheme="minorHAnsi" w:cs="Helvetica"/>
        </w:rPr>
        <w:t>LOV 1917-12-14 nr 17: Lov om vasdragsreguleringer</w:t>
      </w:r>
    </w:p>
    <w:p w:rsidR="00C36B0E" w:rsidRDefault="00F64001" w:rsidP="00956402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 16</w:t>
      </w:r>
    </w:p>
    <w:p w:rsidR="00F64001" w:rsidRDefault="006526B9" w:rsidP="00F64001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B367D5">
        <w:rPr>
          <w:rFonts w:asciiTheme="minorHAnsi" w:hAnsiTheme="minorHAnsi" w:cs="Helvetica"/>
        </w:rPr>
        <w:t>LOV 1917-12-14 nr 16: Lov om erverv av vannfall m.v.</w:t>
      </w:r>
    </w:p>
    <w:p w:rsidR="00C36B0E" w:rsidRDefault="00F64001" w:rsidP="00B367D5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 29</w:t>
      </w:r>
    </w:p>
    <w:p w:rsidR="00F64001" w:rsidRDefault="006526B9" w:rsidP="00F64001">
      <w:r>
        <w:t>Innføring av ny terminologi.</w:t>
      </w:r>
    </w:p>
    <w:p w:rsidR="00C36B0E" w:rsidRPr="00BE35C0" w:rsidRDefault="00C36B0E" w:rsidP="00EE3E6E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/>
        </w:rPr>
        <w:t>LOV 1925-07-17 nr 11: Lov om Svalbard</w:t>
      </w:r>
    </w:p>
    <w:p w:rsidR="00C36B0E" w:rsidRPr="00BE35C0" w:rsidRDefault="00F64001" w:rsidP="00EE3E6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 13</w:t>
      </w:r>
    </w:p>
    <w:p w:rsidR="00C36B0E" w:rsidRPr="00B52171" w:rsidRDefault="00F64001" w:rsidP="00F64001">
      <w:pPr>
        <w:rPr>
          <w:i/>
          <w:color w:val="FF0000"/>
        </w:rPr>
      </w:pPr>
      <w:r>
        <w:t xml:space="preserve">Grunnboka på Svalbard føres allerede elektronisk. Endringen gjør de samme reglene om elektronisk </w:t>
      </w:r>
      <w:r w:rsidR="001F5622">
        <w:t>tinglysing</w:t>
      </w:r>
      <w:r>
        <w:t xml:space="preserve"> gjeldende på Svalbard som vil gjelde i </w:t>
      </w:r>
      <w:r w:rsidR="001F5622">
        <w:t>resten</w:t>
      </w:r>
      <w:r>
        <w:t xml:space="preserve"> av landet, men slik at det fremdeles vil kunne gjøres unntak der.</w:t>
      </w:r>
    </w:p>
    <w:p w:rsidR="00C36B0E" w:rsidRPr="00BE35C0" w:rsidRDefault="00F64001" w:rsidP="006061F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 </w:t>
      </w:r>
      <w:r w:rsidR="00C36B0E" w:rsidRPr="00BE35C0">
        <w:rPr>
          <w:rFonts w:asciiTheme="minorHAnsi" w:hAnsiTheme="minorHAnsi"/>
        </w:rPr>
        <w:t>§ 25</w:t>
      </w:r>
    </w:p>
    <w:p w:rsidR="00C36B0E" w:rsidRPr="00F64001" w:rsidRDefault="006526B9" w:rsidP="006061F6">
      <w:pPr>
        <w:rPr>
          <w:caps/>
        </w:rPr>
      </w:pPr>
      <w:r>
        <w:t>Innføring av ny terminologi.</w:t>
      </w:r>
    </w:p>
    <w:p w:rsidR="00C36B0E" w:rsidRPr="00BE35C0" w:rsidRDefault="00C36B0E" w:rsidP="00321B94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/>
        </w:rPr>
        <w:t>LOV 1927-07-01 nr 01: Lov om registrering av elektriske kraftledninger</w:t>
      </w:r>
    </w:p>
    <w:p w:rsidR="00C36B0E" w:rsidRPr="00BE35C0" w:rsidRDefault="00C75F79" w:rsidP="0035774E">
      <w:pPr>
        <w:pStyle w:val="Heading3"/>
        <w:rPr>
          <w:rFonts w:asciiTheme="minorHAnsi" w:hAnsiTheme="minorHAnsi"/>
        </w:rPr>
      </w:pPr>
      <w:bookmarkStart w:id="0" w:name="1"/>
      <w:bookmarkEnd w:id="0"/>
      <w:r>
        <w:rPr>
          <w:rFonts w:asciiTheme="minorHAnsi" w:hAnsiTheme="minorHAnsi"/>
        </w:rPr>
        <w:t>Til § 1</w:t>
      </w:r>
    </w:p>
    <w:p w:rsidR="00C36B0E" w:rsidRPr="00BE35C0" w:rsidRDefault="00F64001" w:rsidP="00F64001">
      <w:r>
        <w:t>Bestemmelsen viste ti</w:t>
      </w:r>
      <w:r w:rsidR="001F5622">
        <w:t>l visse bestemmelser i tinglysi</w:t>
      </w:r>
      <w:r>
        <w:t xml:space="preserve">ngsloven, som nå til dels endres. Henvisningen til tinglysingsloven </w:t>
      </w:r>
      <w:r w:rsidR="001F5622">
        <w:t>er for</w:t>
      </w:r>
      <w:r>
        <w:t xml:space="preserve"> enkelhets skyld gjort mer generell, med adgang til fravik i forskrift, slik det er vanlig i andre liknende henvisinger.</w:t>
      </w:r>
      <w:r w:rsidR="00562EBF">
        <w:t xml:space="preserve"> Kraftledningsregisteret administreres sammen </w:t>
      </w:r>
      <w:r w:rsidR="001F5622">
        <w:t>med</w:t>
      </w:r>
      <w:r w:rsidR="00562EBF">
        <w:t xml:space="preserve"> tinglysingsregisteret, og det er antatt at det vil bli foretrukket å følge de samme reglene.</w:t>
      </w:r>
    </w:p>
    <w:p w:rsidR="00C36B0E" w:rsidRDefault="00C75F79" w:rsidP="0035774E">
      <w:pPr>
        <w:pStyle w:val="Heading3"/>
        <w:rPr>
          <w:rFonts w:asciiTheme="minorHAnsi" w:hAnsiTheme="minorHAnsi"/>
        </w:rPr>
      </w:pPr>
      <w:bookmarkStart w:id="1" w:name="2"/>
      <w:bookmarkStart w:id="2" w:name="2a"/>
      <w:bookmarkStart w:id="3" w:name="3"/>
      <w:bookmarkEnd w:id="1"/>
      <w:bookmarkEnd w:id="2"/>
      <w:bookmarkEnd w:id="3"/>
      <w:r>
        <w:rPr>
          <w:rFonts w:asciiTheme="minorHAnsi" w:hAnsiTheme="minorHAnsi"/>
        </w:rPr>
        <w:t>Til § 3</w:t>
      </w:r>
    </w:p>
    <w:p w:rsidR="00C75F79" w:rsidRPr="00C75F79" w:rsidRDefault="00C75F79" w:rsidP="00C75F79">
      <w:r w:rsidRPr="00C75F79">
        <w:t>Henvisning til dokumenter er gjort teknologinøytral.</w:t>
      </w:r>
    </w:p>
    <w:p w:rsidR="00C36B0E" w:rsidRPr="00BE35C0" w:rsidRDefault="00C75F79" w:rsidP="0035774E">
      <w:pPr>
        <w:pStyle w:val="Heading3"/>
        <w:rPr>
          <w:rFonts w:asciiTheme="minorHAnsi" w:hAnsiTheme="minorHAnsi"/>
        </w:rPr>
      </w:pPr>
      <w:bookmarkStart w:id="4" w:name="3a"/>
      <w:bookmarkStart w:id="5" w:name="4"/>
      <w:bookmarkEnd w:id="4"/>
      <w:bookmarkEnd w:id="5"/>
      <w:r>
        <w:rPr>
          <w:rFonts w:asciiTheme="minorHAnsi" w:hAnsiTheme="minorHAnsi"/>
        </w:rPr>
        <w:lastRenderedPageBreak/>
        <w:t>Til § 4</w:t>
      </w:r>
    </w:p>
    <w:p w:rsidR="00562EBF" w:rsidRDefault="006526B9" w:rsidP="00562EBF">
      <w:bookmarkStart w:id="6" w:name="5"/>
      <w:bookmarkEnd w:id="6"/>
      <w:r>
        <w:t>Innføring av ny terminologi.</w:t>
      </w:r>
    </w:p>
    <w:p w:rsidR="00C36B0E" w:rsidRPr="00BE35C0" w:rsidRDefault="00562EBF" w:rsidP="0035774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 5</w:t>
      </w:r>
    </w:p>
    <w:p w:rsidR="00C36B0E" w:rsidRPr="00BE35C0" w:rsidRDefault="00562EBF" w:rsidP="00562EBF">
      <w:r>
        <w:t>Varslingsreglen i andre ledd er gjort teknologinøytral.</w:t>
      </w:r>
    </w:p>
    <w:p w:rsidR="00C36B0E" w:rsidRPr="00BE35C0" w:rsidRDefault="00562EBF" w:rsidP="0035774E">
      <w:pPr>
        <w:pStyle w:val="Heading3"/>
        <w:rPr>
          <w:rFonts w:asciiTheme="minorHAnsi" w:hAnsiTheme="minorHAnsi"/>
        </w:rPr>
      </w:pPr>
      <w:bookmarkStart w:id="7" w:name="6"/>
      <w:bookmarkEnd w:id="7"/>
      <w:r>
        <w:rPr>
          <w:rFonts w:asciiTheme="minorHAnsi" w:hAnsiTheme="minorHAnsi"/>
        </w:rPr>
        <w:t>Til § 6</w:t>
      </w:r>
    </w:p>
    <w:p w:rsidR="00562EBF" w:rsidRDefault="006526B9" w:rsidP="00562EBF">
      <w:bookmarkStart w:id="8" w:name="7"/>
      <w:bookmarkEnd w:id="8"/>
      <w:r>
        <w:t>Innføring av ny terminologi.</w:t>
      </w:r>
    </w:p>
    <w:p w:rsidR="00C36B0E" w:rsidRPr="00BE35C0" w:rsidRDefault="005D40A9" w:rsidP="0035774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 </w:t>
      </w:r>
      <w:r w:rsidR="00C36B0E" w:rsidRPr="00BE35C0">
        <w:rPr>
          <w:rFonts w:asciiTheme="minorHAnsi" w:hAnsiTheme="minorHAnsi"/>
        </w:rPr>
        <w:t>§ 7</w:t>
      </w:r>
    </w:p>
    <w:p w:rsidR="005D40A9" w:rsidRPr="005D40A9" w:rsidRDefault="006526B9" w:rsidP="005D40A9">
      <w:bookmarkStart w:id="9" w:name="8"/>
      <w:bookmarkStart w:id="10" w:name="9"/>
      <w:bookmarkEnd w:id="9"/>
      <w:bookmarkEnd w:id="10"/>
      <w:r>
        <w:t>Innføring av ny terminologi.</w:t>
      </w:r>
    </w:p>
    <w:p w:rsidR="00C36B0E" w:rsidRDefault="005D40A9" w:rsidP="0035774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 8</w:t>
      </w:r>
    </w:p>
    <w:p w:rsidR="005D40A9" w:rsidRPr="00BE35C0" w:rsidRDefault="005D40A9" w:rsidP="005D40A9">
      <w:r>
        <w:t xml:space="preserve">Bestemmelsen </w:t>
      </w:r>
      <w:r w:rsidR="004F093D">
        <w:t>vedrører tinglysingskopie</w:t>
      </w:r>
      <w:r w:rsidR="002F1155">
        <w:t xml:space="preserve">r. Den foreslås opphevet, da den foreslåtte registreringsordningen ikke </w:t>
      </w:r>
      <w:r w:rsidR="005E3855">
        <w:t>krever slike kopier, se ovenfor i kap</w:t>
      </w:r>
      <w:r w:rsidR="001F5622">
        <w:t>ittel</w:t>
      </w:r>
      <w:r w:rsidR="005E3855">
        <w:t xml:space="preserve"> X</w:t>
      </w:r>
      <w:r w:rsidR="00275621">
        <w:t>X</w:t>
      </w:r>
      <w:r w:rsidR="005E3855">
        <w:t>.</w:t>
      </w:r>
    </w:p>
    <w:p w:rsidR="00C36B0E" w:rsidRPr="00BE35C0" w:rsidRDefault="005E3855" w:rsidP="0035774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 </w:t>
      </w:r>
      <w:r w:rsidR="00C36B0E" w:rsidRPr="00BE35C0">
        <w:rPr>
          <w:rFonts w:asciiTheme="minorHAnsi" w:hAnsiTheme="minorHAnsi"/>
        </w:rPr>
        <w:t>§ 9</w:t>
      </w:r>
    </w:p>
    <w:p w:rsidR="00C36B0E" w:rsidRPr="00BE35C0" w:rsidRDefault="0057286C" w:rsidP="00EE55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Henvisningen til at tinglysingslovens regler om dagboksføring ikke skal gjelde går ut, da det forslås at man heller ikke</w:t>
      </w:r>
      <w:r w:rsidR="001F562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ved tinglysing som gjelder fast eiendom skal ha egen dagboksføring av dokumenter. </w:t>
      </w:r>
    </w:p>
    <w:p w:rsidR="00C36B0E" w:rsidRPr="00BE35C0" w:rsidRDefault="0057286C" w:rsidP="0035774E">
      <w:pPr>
        <w:pStyle w:val="Heading3"/>
        <w:rPr>
          <w:rFonts w:asciiTheme="minorHAnsi" w:hAnsiTheme="minorHAnsi"/>
        </w:rPr>
      </w:pPr>
      <w:bookmarkStart w:id="11" w:name="10"/>
      <w:bookmarkStart w:id="12" w:name="12"/>
      <w:bookmarkEnd w:id="11"/>
      <w:bookmarkEnd w:id="12"/>
      <w:r>
        <w:rPr>
          <w:rFonts w:asciiTheme="minorHAnsi" w:hAnsiTheme="minorHAnsi"/>
        </w:rPr>
        <w:t xml:space="preserve">Til </w:t>
      </w:r>
      <w:r w:rsidR="00C36B0E" w:rsidRPr="00BE35C0">
        <w:rPr>
          <w:rFonts w:asciiTheme="minorHAnsi" w:hAnsiTheme="minorHAnsi"/>
        </w:rPr>
        <w:t>§ 12</w:t>
      </w:r>
    </w:p>
    <w:p w:rsidR="0057286C" w:rsidRDefault="006526B9" w:rsidP="0057286C">
      <w:bookmarkStart w:id="13" w:name="13"/>
      <w:bookmarkEnd w:id="13"/>
      <w:r>
        <w:t>Innføring av ny terminologi.</w:t>
      </w:r>
    </w:p>
    <w:p w:rsidR="00C36B0E" w:rsidRPr="00BE35C0" w:rsidRDefault="00B30A4A" w:rsidP="00462AC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13</w:t>
      </w:r>
    </w:p>
    <w:p w:rsidR="0057286C" w:rsidRDefault="006526B9" w:rsidP="0057286C">
      <w:bookmarkStart w:id="14" w:name="14"/>
      <w:bookmarkEnd w:id="14"/>
      <w:r>
        <w:t>Innføring av ny terminologi.</w:t>
      </w:r>
    </w:p>
    <w:p w:rsidR="00C36B0E" w:rsidRPr="00BE35C0" w:rsidRDefault="00B30A4A" w:rsidP="00462AC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14</w:t>
      </w:r>
    </w:p>
    <w:p w:rsidR="0057286C" w:rsidRDefault="006526B9" w:rsidP="0057286C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124B74">
        <w:rPr>
          <w:rFonts w:asciiTheme="minorHAnsi" w:hAnsiTheme="minorHAnsi" w:cs="Helvetica"/>
        </w:rPr>
        <w:t>LOV 1930-02-21 nr 00: Lov om skifte</w:t>
      </w:r>
    </w:p>
    <w:p w:rsidR="00C36B0E" w:rsidRDefault="00B30A4A" w:rsidP="00186630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14</w:t>
      </w:r>
    </w:p>
    <w:p w:rsidR="0057286C" w:rsidRDefault="006526B9" w:rsidP="0057286C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124B74">
        <w:rPr>
          <w:rFonts w:asciiTheme="minorHAnsi" w:hAnsiTheme="minorHAnsi" w:cs="Helvetica"/>
        </w:rPr>
        <w:lastRenderedPageBreak/>
        <w:t>LOV 1959-10-23 nr 03: Lov om oreigning av fast eigedom</w:t>
      </w:r>
    </w:p>
    <w:p w:rsidR="00C36B0E" w:rsidRDefault="00B30A4A" w:rsidP="00124B74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25</w:t>
      </w:r>
    </w:p>
    <w:p w:rsidR="0057286C" w:rsidRDefault="006526B9" w:rsidP="0057286C">
      <w:r>
        <w:t>Innføring av ny terminologi.</w:t>
      </w:r>
    </w:p>
    <w:p w:rsidR="00C36B0E" w:rsidRPr="00BE35C0" w:rsidRDefault="00C36B0E" w:rsidP="007A1A51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/>
        </w:rPr>
        <w:t>LOV 1959-12-18 nr 01: Lov om mortifikasjon av skuldbrev m.v.</w:t>
      </w:r>
    </w:p>
    <w:p w:rsidR="00C36B0E" w:rsidRPr="00BE35C0" w:rsidRDefault="00B30A4A" w:rsidP="00571DD1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12</w:t>
      </w:r>
    </w:p>
    <w:p w:rsidR="0057286C" w:rsidRDefault="006526B9" w:rsidP="0057286C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E91E1A">
        <w:rPr>
          <w:rFonts w:asciiTheme="minorHAnsi" w:hAnsiTheme="minorHAnsi" w:cs="Helvetica"/>
        </w:rPr>
        <w:t>LOV 1963-06-21 nr 23: Veglov</w:t>
      </w:r>
    </w:p>
    <w:p w:rsidR="00C36B0E" w:rsidRDefault="00B30A4A" w:rsidP="00E91E1A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27</w:t>
      </w:r>
    </w:p>
    <w:p w:rsidR="0057286C" w:rsidRDefault="006526B9" w:rsidP="0057286C">
      <w:r>
        <w:t>Innføring av ny terminologi.</w:t>
      </w:r>
    </w:p>
    <w:p w:rsidR="00C36B0E" w:rsidRDefault="00B30A4A" w:rsidP="00E91E1A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52</w:t>
      </w:r>
    </w:p>
    <w:p w:rsidR="0057286C" w:rsidRDefault="006526B9" w:rsidP="0057286C">
      <w:r>
        <w:t>Innføring av ny terminologi.</w:t>
      </w:r>
    </w:p>
    <w:p w:rsidR="00C36B0E" w:rsidRPr="00BE35C0" w:rsidRDefault="00C36B0E" w:rsidP="002A4D22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/>
        </w:rPr>
        <w:t>LOV 1974-06-28 nr 58: Lov om odelsretten og åsetesretten</w:t>
      </w:r>
    </w:p>
    <w:p w:rsidR="00C36B0E" w:rsidRPr="00BE35C0" w:rsidRDefault="00B30A4A" w:rsidP="004B78B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57</w:t>
      </w:r>
    </w:p>
    <w:p w:rsidR="0057286C" w:rsidRDefault="006526B9" w:rsidP="0057286C">
      <w:r>
        <w:t>Innføring av ny terminologi.</w:t>
      </w:r>
    </w:p>
    <w:p w:rsidR="004768C7" w:rsidRPr="00BE35C0" w:rsidRDefault="004768C7" w:rsidP="004768C7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/>
        </w:rPr>
        <w:t>LOV 1975-12-12 nr 59: Lov om dokumentavgift</w:t>
      </w:r>
    </w:p>
    <w:p w:rsidR="004768C7" w:rsidRPr="00BE35C0" w:rsidRDefault="00B30A4A" w:rsidP="004768C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4768C7" w:rsidRPr="00BE35C0">
        <w:rPr>
          <w:rFonts w:asciiTheme="minorHAnsi" w:hAnsiTheme="minorHAnsi"/>
        </w:rPr>
        <w:t xml:space="preserve"> 5a</w:t>
      </w:r>
    </w:p>
    <w:p w:rsidR="004768C7" w:rsidRPr="00BE35C0" w:rsidRDefault="0057286C" w:rsidP="004768C7">
      <w:r>
        <w:t>Bestemmelsen er føyd til for å gjøre det klart at det skal betales dokumentavgift også om dokumentasjonen er i elektronisk form.</w:t>
      </w:r>
    </w:p>
    <w:p w:rsidR="004768C7" w:rsidRPr="00BE35C0" w:rsidRDefault="00B30A4A" w:rsidP="004768C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4768C7" w:rsidRPr="00BE35C0">
        <w:rPr>
          <w:rFonts w:asciiTheme="minorHAnsi" w:hAnsiTheme="minorHAnsi"/>
        </w:rPr>
        <w:t xml:space="preserve"> 6</w:t>
      </w:r>
    </w:p>
    <w:p w:rsidR="0057286C" w:rsidRDefault="006526B9" w:rsidP="0057286C">
      <w:r>
        <w:t>Innføring av ny terminologi.</w:t>
      </w:r>
    </w:p>
    <w:p w:rsidR="00BA71E5" w:rsidRDefault="00B30A4A" w:rsidP="00BA71E5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BA71E5" w:rsidRPr="0057286C">
        <w:rPr>
          <w:rFonts w:asciiTheme="minorHAnsi" w:hAnsiTheme="minorHAnsi"/>
        </w:rPr>
        <w:t xml:space="preserve"> 7</w:t>
      </w:r>
    </w:p>
    <w:p w:rsidR="00361202" w:rsidRPr="0057286C" w:rsidRDefault="00361202" w:rsidP="00361202">
      <w:r>
        <w:t xml:space="preserve">Regelen om påtegning på dokumentet i andre ledd er begrenset til papirdokumenter, da det ikke kan gis ”påtegning” på </w:t>
      </w:r>
      <w:r w:rsidR="001F5622">
        <w:t>elektroniske</w:t>
      </w:r>
      <w:r>
        <w:t xml:space="preserve"> dokumenter.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346413">
        <w:rPr>
          <w:rFonts w:asciiTheme="minorHAnsi" w:hAnsiTheme="minorHAnsi" w:cs="Helvetica"/>
        </w:rPr>
        <w:lastRenderedPageBreak/>
        <w:t>LOV 1979-12-21 nr 77: Lov om jordskifte o.a. (jordskifteloven)</w:t>
      </w:r>
    </w:p>
    <w:p w:rsidR="00C36B0E" w:rsidRDefault="00B30A4A" w:rsidP="00C318D9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83</w:t>
      </w:r>
    </w:p>
    <w:p w:rsidR="00361202" w:rsidRDefault="00361202" w:rsidP="00361202">
      <w:r>
        <w:t xml:space="preserve">Bestemmelsen er gjort teknologinøytral. </w:t>
      </w:r>
      <w:r w:rsidR="00D72586">
        <w:t xml:space="preserve">Mens det tidligere sto at dokumentene skulle tinglyses, står det nå </w:t>
      </w:r>
      <w:r w:rsidR="001F5622">
        <w:t>uttrykkelig</w:t>
      </w:r>
      <w:r w:rsidR="00D72586">
        <w:t xml:space="preserve"> at det er jordskifteretten som skal gjøre det.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802520">
        <w:rPr>
          <w:rFonts w:asciiTheme="minorHAnsi" w:hAnsiTheme="minorHAnsi" w:cs="Helvetica"/>
        </w:rPr>
        <w:t>LOV 1980-02-08 nr 02: Lov om pant</w:t>
      </w:r>
    </w:p>
    <w:p w:rsidR="00C36B0E" w:rsidRDefault="00B30A4A" w:rsidP="001A69E7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1-1</w:t>
      </w:r>
    </w:p>
    <w:p w:rsidR="00D72586" w:rsidRDefault="006526B9" w:rsidP="00D72586">
      <w:r>
        <w:t>Innføring av ny terminologi.</w:t>
      </w:r>
    </w:p>
    <w:p w:rsidR="00C36B0E" w:rsidRDefault="00B30A4A" w:rsidP="001A69E7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2-5</w:t>
      </w:r>
    </w:p>
    <w:p w:rsidR="00D72586" w:rsidRDefault="006526B9" w:rsidP="00D72586">
      <w:r>
        <w:t>Innføring av ny terminologi.</w:t>
      </w:r>
    </w:p>
    <w:p w:rsidR="00C36B0E" w:rsidRPr="00D72586" w:rsidRDefault="00B30A4A" w:rsidP="001A69E7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D72586">
        <w:rPr>
          <w:rFonts w:asciiTheme="minorHAnsi" w:hAnsiTheme="minorHAnsi" w:cs="Helvetica"/>
        </w:rPr>
        <w:t xml:space="preserve"> 3-18</w:t>
      </w:r>
    </w:p>
    <w:p w:rsidR="00D72586" w:rsidRDefault="006526B9" w:rsidP="00D72586">
      <w:r>
        <w:t>Innføring av ny terminologi.</w:t>
      </w:r>
    </w:p>
    <w:p w:rsidR="00C36B0E" w:rsidRPr="00D72586" w:rsidRDefault="00B30A4A" w:rsidP="001A69E7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D72586">
        <w:rPr>
          <w:rFonts w:asciiTheme="minorHAnsi" w:hAnsiTheme="minorHAnsi" w:cs="Helvetica"/>
        </w:rPr>
        <w:t xml:space="preserve"> 4-3</w:t>
      </w:r>
    </w:p>
    <w:p w:rsidR="00D72586" w:rsidRDefault="006526B9" w:rsidP="00D72586">
      <w:r>
        <w:t>Innføring av ny terminologi.</w:t>
      </w:r>
    </w:p>
    <w:p w:rsidR="00C36B0E" w:rsidRPr="00D72586" w:rsidRDefault="00B30A4A" w:rsidP="001A69E7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D72586">
        <w:rPr>
          <w:rFonts w:asciiTheme="minorHAnsi" w:hAnsiTheme="minorHAnsi" w:cs="Helvetica"/>
        </w:rPr>
        <w:t xml:space="preserve"> 4-3a</w:t>
      </w:r>
    </w:p>
    <w:p w:rsidR="00D72586" w:rsidRDefault="006526B9" w:rsidP="00D72586">
      <w:r>
        <w:t>Innføring av ny terminologi.</w:t>
      </w:r>
    </w:p>
    <w:p w:rsidR="00C36B0E" w:rsidRPr="00D72586" w:rsidRDefault="00B30A4A" w:rsidP="001A69E7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D72586">
        <w:rPr>
          <w:rFonts w:asciiTheme="minorHAnsi" w:hAnsiTheme="minorHAnsi" w:cs="Helvetica"/>
        </w:rPr>
        <w:t xml:space="preserve"> 4-2b</w:t>
      </w:r>
    </w:p>
    <w:p w:rsidR="00D72586" w:rsidRDefault="006526B9" w:rsidP="00D72586">
      <w:r>
        <w:t>Innføring av ny terminologi.</w:t>
      </w:r>
    </w:p>
    <w:p w:rsidR="00C36B0E" w:rsidRPr="00D72586" w:rsidRDefault="00B30A4A" w:rsidP="001A69E7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D72586">
        <w:rPr>
          <w:rFonts w:asciiTheme="minorHAnsi" w:hAnsiTheme="minorHAnsi" w:cs="Helvetica"/>
        </w:rPr>
        <w:t xml:space="preserve"> 5-2</w:t>
      </w:r>
    </w:p>
    <w:p w:rsidR="00D72586" w:rsidRDefault="006526B9" w:rsidP="00D72586">
      <w:r>
        <w:t>Innføring av ny terminologi.</w:t>
      </w:r>
    </w:p>
    <w:p w:rsidR="00C36B0E" w:rsidRPr="00F56B06" w:rsidRDefault="00B30A4A" w:rsidP="001A69E7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F56B06">
        <w:rPr>
          <w:rFonts w:asciiTheme="minorHAnsi" w:hAnsiTheme="minorHAnsi" w:cs="Helvetica"/>
        </w:rPr>
        <w:t xml:space="preserve"> 5-8a</w:t>
      </w:r>
    </w:p>
    <w:p w:rsidR="00D72586" w:rsidRDefault="006526B9" w:rsidP="00D72586">
      <w:r>
        <w:t>Innføring av ny terminologi.</w:t>
      </w:r>
    </w:p>
    <w:p w:rsidR="00C36B0E" w:rsidRPr="00BE35C0" w:rsidRDefault="00C36B0E" w:rsidP="00C14644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 w:cs="Helvetica"/>
        </w:rPr>
        <w:t>LOV 1982-12-17 nr 86: Lov om rettsgebyr</w:t>
      </w:r>
    </w:p>
    <w:p w:rsidR="00C36B0E" w:rsidRDefault="00B30A4A" w:rsidP="00C14644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2</w:t>
      </w:r>
    </w:p>
    <w:p w:rsidR="00F56B06" w:rsidRPr="00BE35C0" w:rsidRDefault="00F56B06" w:rsidP="00F56B06">
      <w:r>
        <w:t xml:space="preserve">Henvisningen til hva som kan </w:t>
      </w:r>
      <w:r w:rsidR="001F5622">
        <w:t>tinglyses</w:t>
      </w:r>
      <w:r>
        <w:t xml:space="preserve"> i tredje ledd er gjort teknologinøytral.</w:t>
      </w:r>
    </w:p>
    <w:p w:rsidR="00C36B0E" w:rsidRPr="00BE35C0" w:rsidRDefault="00B30A4A" w:rsidP="001B5662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Til § 4</w:t>
      </w:r>
    </w:p>
    <w:p w:rsidR="00C36B0E" w:rsidRPr="006526B9" w:rsidRDefault="006526B9" w:rsidP="001B5662">
      <w:pPr>
        <w:spacing w:before="100" w:beforeAutospacing="1" w:after="100" w:afterAutospacing="1" w:line="240" w:lineRule="auto"/>
      </w:pPr>
      <w:r w:rsidRPr="006526B9">
        <w:t>Det er tatt</w:t>
      </w:r>
      <w:r w:rsidR="001F5622">
        <w:t xml:space="preserve"> </w:t>
      </w:r>
      <w:r w:rsidRPr="006526B9">
        <w:t>høyde for at attest for tinglysing</w:t>
      </w:r>
      <w:r>
        <w:t xml:space="preserve"> (tinglysingsloven § 11)etter forslaget</w:t>
      </w:r>
      <w:r w:rsidRPr="006526B9">
        <w:t xml:space="preserve"> ikke lenger nødvendigvis blir gitt ved påtegning. </w:t>
      </w:r>
      <w:r w:rsidR="001F5622" w:rsidRPr="006526B9">
        <w:t xml:space="preserve">Teksten er ellers endret tilbake til ordlyden slik den ble ved lovendring </w:t>
      </w:r>
      <w:r w:rsidR="001F5622">
        <w:t xml:space="preserve">nr. </w:t>
      </w:r>
      <w:r w:rsidR="001F5622" w:rsidRPr="006526B9">
        <w:t>3</w:t>
      </w:r>
      <w:r w:rsidR="001F5622">
        <w:t>/2007</w:t>
      </w:r>
      <w:r w:rsidR="001F5622" w:rsidRPr="006526B9">
        <w:t xml:space="preserve">, da arbeidsgruppen – i likhet med </w:t>
      </w:r>
      <w:r w:rsidR="001F5622">
        <w:t>d</w:t>
      </w:r>
      <w:r w:rsidR="001F5622" w:rsidRPr="006526B9">
        <w:t xml:space="preserve">et som fremgår av Lovdatas note – antar at endringene </w:t>
      </w:r>
      <w:r w:rsidR="001F5622">
        <w:t xml:space="preserve">tilbake til den tidligere teksten og opphevingen av de to siste punktumene </w:t>
      </w:r>
      <w:r w:rsidR="001F5622" w:rsidRPr="006526B9">
        <w:t>ved lov nr. 127</w:t>
      </w:r>
      <w:r w:rsidR="001F5622">
        <w:t>/2007</w:t>
      </w:r>
      <w:r w:rsidR="001F5622" w:rsidRPr="006526B9">
        <w:t xml:space="preserve"> beror på en inkurie.</w:t>
      </w:r>
    </w:p>
    <w:p w:rsidR="00C36B0E" w:rsidRPr="00BE35C0" w:rsidRDefault="00B30A4A" w:rsidP="00BE4DED">
      <w:pPr>
        <w:pStyle w:val="Heading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Til § </w:t>
      </w:r>
      <w:r w:rsidR="00C36B0E" w:rsidRPr="00BE35C0">
        <w:rPr>
          <w:rFonts w:asciiTheme="minorHAnsi" w:hAnsiTheme="minorHAnsi"/>
          <w:sz w:val="24"/>
          <w:szCs w:val="24"/>
        </w:rPr>
        <w:t>21</w:t>
      </w:r>
    </w:p>
    <w:p w:rsidR="0028129A" w:rsidRDefault="0028129A" w:rsidP="0028129A">
      <w:r>
        <w:t>Innføring av ny terminologi, og det er tatt høyde for at en panterett i fast eiendom etter forslaget vil kunne tinglyses selv om den ik</w:t>
      </w:r>
      <w:r w:rsidR="00A76406">
        <w:t>k</w:t>
      </w:r>
      <w:r>
        <w:t>e er kommet til uttrykk i et dokument.</w:t>
      </w:r>
    </w:p>
    <w:p w:rsidR="00C36B0E" w:rsidRPr="00BE35C0" w:rsidRDefault="00B30A4A" w:rsidP="00BE4DED">
      <w:pPr>
        <w:pStyle w:val="Heading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Til §</w:t>
      </w:r>
      <w:r w:rsidR="00C36B0E" w:rsidRPr="00BE35C0">
        <w:rPr>
          <w:rFonts w:asciiTheme="minorHAnsi" w:hAnsiTheme="minorHAnsi"/>
          <w:sz w:val="24"/>
          <w:szCs w:val="24"/>
        </w:rPr>
        <w:t xml:space="preserve"> 23</w:t>
      </w:r>
    </w:p>
    <w:p w:rsidR="00A76406" w:rsidRPr="00A76406" w:rsidRDefault="00A76406" w:rsidP="00A76406">
      <w:r>
        <w:t xml:space="preserve">Innføring av ny terminologi, og det er tatt høyde for at attester </w:t>
      </w:r>
      <w:r w:rsidR="001F5622">
        <w:t>ikke</w:t>
      </w:r>
      <w:r>
        <w:t xml:space="preserve"> </w:t>
      </w:r>
      <w:r w:rsidR="001F5622">
        <w:t>nødvendigvis</w:t>
      </w:r>
      <w:r>
        <w:t xml:space="preserve"> vil bli gitt på papir.</w:t>
      </w:r>
    </w:p>
    <w:p w:rsidR="00C36B0E" w:rsidRPr="00BE35C0" w:rsidRDefault="00C36B0E" w:rsidP="00C14644">
      <w:pPr>
        <w:pStyle w:val="Heading2"/>
        <w:rPr>
          <w:rFonts w:asciiTheme="minorHAnsi" w:hAnsiTheme="minorHAnsi" w:cs="Helvetica"/>
        </w:rPr>
      </w:pPr>
      <w:r w:rsidRPr="002865FA">
        <w:rPr>
          <w:rFonts w:asciiTheme="minorHAnsi" w:hAnsiTheme="minorHAnsi" w:cs="Helvetica"/>
        </w:rPr>
        <w:t>LOV 1984-06-08 nr 59: Lov om fordringshavernes dekningsrett (dekningsloven)</w:t>
      </w:r>
    </w:p>
    <w:p w:rsidR="00C36B0E" w:rsidRDefault="00B30A4A" w:rsidP="002865FA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3-3</w:t>
      </w:r>
    </w:p>
    <w:p w:rsidR="00A76406" w:rsidRDefault="00A76406" w:rsidP="00A76406">
      <w:r>
        <w:t>Innføring av ny terminologi.</w:t>
      </w:r>
    </w:p>
    <w:p w:rsidR="00C36B0E" w:rsidRPr="00BE35C0" w:rsidRDefault="00C36B0E" w:rsidP="002C04FD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 w:cs="Helvetica"/>
        </w:rPr>
        <w:t>LOV 1984-06-08 nr 58: Lov om gjeldsforhandling og konkurs (konkursloven)</w:t>
      </w:r>
    </w:p>
    <w:p w:rsidR="00C36B0E" w:rsidRPr="00BE35C0" w:rsidRDefault="00B30A4A" w:rsidP="006D794F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Til § </w:t>
      </w:r>
      <w:r w:rsidR="00C36B0E" w:rsidRPr="00BE35C0">
        <w:rPr>
          <w:rFonts w:asciiTheme="minorHAnsi" w:hAnsiTheme="minorHAnsi" w:cs="Helvetica"/>
        </w:rPr>
        <w:t>36</w:t>
      </w:r>
    </w:p>
    <w:p w:rsidR="00A76406" w:rsidRDefault="00A76406" w:rsidP="00A76406">
      <w:r>
        <w:t>Innføring av ny terminologi.</w:t>
      </w:r>
    </w:p>
    <w:p w:rsidR="00C36B0E" w:rsidRPr="00BE35C0" w:rsidRDefault="00B30A4A" w:rsidP="006D794F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BE35C0">
        <w:rPr>
          <w:rFonts w:asciiTheme="minorHAnsi" w:hAnsiTheme="minorHAnsi" w:cs="Helvetica"/>
        </w:rPr>
        <w:t xml:space="preserve"> 79</w:t>
      </w:r>
    </w:p>
    <w:p w:rsidR="00A76406" w:rsidRDefault="00A76406" w:rsidP="00A76406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9C072B">
        <w:rPr>
          <w:rFonts w:asciiTheme="minorHAnsi" w:hAnsiTheme="minorHAnsi" w:cs="Helvetica"/>
        </w:rPr>
        <w:t>LOV 1992-06-19 nr 59: Lov om bygdeallmenninger</w:t>
      </w:r>
    </w:p>
    <w:p w:rsidR="00C36B0E" w:rsidRDefault="00B30A4A" w:rsidP="009C072B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1-6</w:t>
      </w:r>
    </w:p>
    <w:p w:rsidR="00C36B0E" w:rsidRDefault="00A76406" w:rsidP="009C072B">
      <w:pPr>
        <w:rPr>
          <w:rFonts w:cs="Helvetica"/>
        </w:rPr>
      </w:pPr>
      <w:r>
        <w:rPr>
          <w:rFonts w:cs="Helvetica"/>
        </w:rPr>
        <w:t xml:space="preserve">Bestemmelsen er gjort </w:t>
      </w:r>
      <w:r w:rsidR="001F5622">
        <w:rPr>
          <w:rFonts w:cs="Helvetica"/>
        </w:rPr>
        <w:t>teknologinøytral</w:t>
      </w:r>
      <w:r>
        <w:rPr>
          <w:rFonts w:cs="Helvetica"/>
        </w:rPr>
        <w:t xml:space="preserve">, idet det </w:t>
      </w:r>
      <w:r w:rsidR="001F5622">
        <w:rPr>
          <w:rFonts w:cs="Helvetica"/>
        </w:rPr>
        <w:t>ikke</w:t>
      </w:r>
      <w:r>
        <w:rPr>
          <w:rFonts w:cs="Helvetica"/>
        </w:rPr>
        <w:t xml:space="preserve"> lenger kreves (konvensjonell) underskrift på </w:t>
      </w:r>
      <w:r w:rsidR="001F5622">
        <w:rPr>
          <w:rFonts w:cs="Helvetica"/>
        </w:rPr>
        <w:t>erklæringen</w:t>
      </w:r>
      <w:r>
        <w:rPr>
          <w:rFonts w:cs="Helvetica"/>
        </w:rPr>
        <w:t xml:space="preserve"> fra allmenningsstyret. Styrets </w:t>
      </w:r>
      <w:r w:rsidR="001F5622">
        <w:rPr>
          <w:rFonts w:cs="Helvetica"/>
        </w:rPr>
        <w:t>beslutning</w:t>
      </w:r>
      <w:r>
        <w:rPr>
          <w:rFonts w:cs="Helvetica"/>
        </w:rPr>
        <w:t xml:space="preserve"> må selvsagt fortsatt dokumenteres.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E702C5">
        <w:rPr>
          <w:rFonts w:asciiTheme="minorHAnsi" w:hAnsiTheme="minorHAnsi" w:cs="Helvetica"/>
        </w:rPr>
        <w:t>LOV 1992-06-26 nr 86: Lov om tvangsfullbyrdelse</w:t>
      </w:r>
    </w:p>
    <w:p w:rsidR="00C36B0E" w:rsidRDefault="00B30A4A" w:rsidP="00E702C5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1-8</w:t>
      </w:r>
    </w:p>
    <w:p w:rsidR="00A76406" w:rsidRDefault="00A76406" w:rsidP="00A76406">
      <w:r>
        <w:t>Innføring av ny terminologi.</w:t>
      </w:r>
    </w:p>
    <w:p w:rsidR="00C36B0E" w:rsidRDefault="00B30A4A" w:rsidP="003541F2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7-2</w:t>
      </w:r>
    </w:p>
    <w:p w:rsidR="00A76406" w:rsidRPr="00BE35C0" w:rsidRDefault="00A76406" w:rsidP="00A76406">
      <w:r>
        <w:lastRenderedPageBreak/>
        <w:t>Endringene åpner for elektroniske tvangsgrunnlag, se ovenfor i xx.</w:t>
      </w:r>
    </w:p>
    <w:p w:rsidR="00C36B0E" w:rsidRDefault="00B30A4A" w:rsidP="00E702C5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11-3</w:t>
      </w:r>
    </w:p>
    <w:p w:rsidR="00A76406" w:rsidRDefault="00A76406" w:rsidP="00A76406">
      <w:r>
        <w:t>Innføring av ny terminologi.</w:t>
      </w:r>
    </w:p>
    <w:p w:rsidR="00C36B0E" w:rsidRPr="00A76406" w:rsidRDefault="00B30A4A" w:rsidP="00E702C5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A76406">
        <w:rPr>
          <w:rFonts w:asciiTheme="minorHAnsi" w:hAnsiTheme="minorHAnsi" w:cs="Helvetica"/>
        </w:rPr>
        <w:t xml:space="preserve"> 11-7</w:t>
      </w:r>
    </w:p>
    <w:p w:rsidR="00A76406" w:rsidRDefault="00A76406" w:rsidP="00A76406">
      <w:r>
        <w:t>Innføring av ny terminologi.</w:t>
      </w:r>
    </w:p>
    <w:p w:rsidR="00C36B0E" w:rsidRPr="00A76406" w:rsidRDefault="00B30A4A" w:rsidP="00E702C5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A76406">
        <w:rPr>
          <w:rFonts w:asciiTheme="minorHAnsi" w:hAnsiTheme="minorHAnsi" w:cs="Helvetica"/>
        </w:rPr>
        <w:t xml:space="preserve"> 11-8</w:t>
      </w:r>
    </w:p>
    <w:p w:rsidR="00A76406" w:rsidRDefault="00A76406" w:rsidP="00A76406">
      <w:r>
        <w:t>Innføring av ny terminologi.</w:t>
      </w:r>
    </w:p>
    <w:p w:rsidR="00C36B0E" w:rsidRPr="00A76406" w:rsidRDefault="00B30A4A" w:rsidP="00E702C5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A76406">
        <w:rPr>
          <w:rFonts w:asciiTheme="minorHAnsi" w:hAnsiTheme="minorHAnsi" w:cs="Helvetica"/>
        </w:rPr>
        <w:t xml:space="preserve"> 11-9</w:t>
      </w:r>
    </w:p>
    <w:p w:rsidR="00A76406" w:rsidRDefault="00A76406" w:rsidP="00A76406">
      <w:r>
        <w:t>Innføring av ny terminologi.</w:t>
      </w:r>
    </w:p>
    <w:p w:rsidR="00C36B0E" w:rsidRPr="00A76406" w:rsidRDefault="00B30A4A" w:rsidP="00E702C5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A76406">
        <w:rPr>
          <w:rFonts w:asciiTheme="minorHAnsi" w:hAnsiTheme="minorHAnsi" w:cs="Helvetica"/>
        </w:rPr>
        <w:t xml:space="preserve"> 11-14</w:t>
      </w:r>
    </w:p>
    <w:p w:rsidR="00A76406" w:rsidRDefault="00A76406" w:rsidP="00A76406">
      <w:r>
        <w:t>Innføring av ny terminologi.</w:t>
      </w:r>
    </w:p>
    <w:p w:rsidR="00C36B0E" w:rsidRPr="00BE35C0" w:rsidRDefault="00B30A4A" w:rsidP="006C313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13-2</w:t>
      </w:r>
    </w:p>
    <w:p w:rsidR="00A76406" w:rsidRPr="00BE35C0" w:rsidRDefault="00A76406" w:rsidP="00A76406">
      <w:r>
        <w:t>Endringene åpner for elektroniske tvangsgrunnlag, se ovenfor i xx.</w:t>
      </w:r>
    </w:p>
    <w:p w:rsidR="00201F85" w:rsidRDefault="00201F85" w:rsidP="00C14644">
      <w:pPr>
        <w:pStyle w:val="Heading2"/>
        <w:rPr>
          <w:rFonts w:asciiTheme="minorHAnsi" w:hAnsiTheme="minorHAnsi" w:cs="Helvetica"/>
        </w:rPr>
      </w:pPr>
      <w:r w:rsidRPr="00C41C2B">
        <w:rPr>
          <w:rFonts w:asciiTheme="minorHAnsi" w:hAnsiTheme="minorHAnsi" w:cs="Helvetica"/>
        </w:rPr>
        <w:t>LOV 1994-12-09 nr 64: Lov om løysingsrettar</w:t>
      </w:r>
    </w:p>
    <w:p w:rsidR="00201F85" w:rsidRDefault="00B30A4A" w:rsidP="00C41C2B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201F85">
        <w:rPr>
          <w:rFonts w:asciiTheme="minorHAnsi" w:hAnsiTheme="minorHAnsi" w:cs="Helvetica"/>
        </w:rPr>
        <w:t xml:space="preserve"> 13</w:t>
      </w:r>
    </w:p>
    <w:p w:rsidR="00A76406" w:rsidRDefault="00A76406" w:rsidP="00A76406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6A4720">
        <w:rPr>
          <w:rFonts w:asciiTheme="minorHAnsi" w:hAnsiTheme="minorHAnsi" w:cs="Helvetica"/>
        </w:rPr>
        <w:t>LOV 1996-11-29 nr 72: Lov om petroleumsvirksomhet</w:t>
      </w:r>
    </w:p>
    <w:p w:rsidR="00C36B0E" w:rsidRDefault="00B30A4A" w:rsidP="006A4720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6-1</w:t>
      </w:r>
    </w:p>
    <w:p w:rsidR="00A76406" w:rsidRDefault="00A76406" w:rsidP="00A76406">
      <w:r>
        <w:t>Endringen klargjør at innføring av elektronisk tinglysing ikke gjelder petroleumsregisteret, selv om tinglysingslovens regler ellers gjelder for dette registeret.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EB4B12">
        <w:rPr>
          <w:rFonts w:asciiTheme="minorHAnsi" w:hAnsiTheme="minorHAnsi" w:cs="Helvetica"/>
        </w:rPr>
        <w:t>LOV 1997-05-23 nr 31: Lov om eierseksjoner (eierseksjonsloven)</w:t>
      </w:r>
    </w:p>
    <w:p w:rsidR="00C36B0E" w:rsidRDefault="00B30A4A" w:rsidP="00580135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 11</w:t>
      </w:r>
    </w:p>
    <w:p w:rsidR="00887AA0" w:rsidRDefault="00887AA0" w:rsidP="00887AA0">
      <w:r>
        <w:t>Innføring av ny terminologi.</w:t>
      </w:r>
    </w:p>
    <w:p w:rsidR="00C36B0E" w:rsidRPr="00887AA0" w:rsidRDefault="00B30A4A" w:rsidP="00CE216B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 w:rsidRPr="00887AA0">
        <w:rPr>
          <w:rFonts w:asciiTheme="minorHAnsi" w:hAnsiTheme="minorHAnsi" w:cs="Helvetica"/>
        </w:rPr>
        <w:t xml:space="preserve"> 28</w:t>
      </w:r>
    </w:p>
    <w:p w:rsidR="00887AA0" w:rsidRDefault="00887AA0" w:rsidP="00887AA0">
      <w:r>
        <w:lastRenderedPageBreak/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031EFA">
        <w:rPr>
          <w:rFonts w:asciiTheme="minorHAnsi" w:hAnsiTheme="minorHAnsi" w:cs="Helvetica"/>
        </w:rPr>
        <w:t>LOV 1997-06-13 nr 43: Lov om avtalar med forbrukar om oppføring av ny bustad m.m. (bustadoppføringslova)</w:t>
      </w:r>
    </w:p>
    <w:p w:rsidR="00C36B0E" w:rsidRDefault="00B30A4A" w:rsidP="00031EFA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57</w:t>
      </w:r>
    </w:p>
    <w:p w:rsidR="00887AA0" w:rsidRDefault="00887AA0" w:rsidP="00887AA0">
      <w:r>
        <w:t>Termionologien i andre ledd er endret, siden festebevis ikke behøver å være på papir for å kunne tinglyses.</w:t>
      </w:r>
    </w:p>
    <w:p w:rsidR="00C36B0E" w:rsidRPr="00BE35C0" w:rsidRDefault="00C36B0E" w:rsidP="00321B94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/>
        </w:rPr>
        <w:t>LOV 2001-06-15 nr 81: Lov om elektronisk signatur (esignaturloven)</w:t>
      </w:r>
    </w:p>
    <w:p w:rsidR="00C36B0E" w:rsidRDefault="00B30A4A" w:rsidP="003541F2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887AA0">
        <w:rPr>
          <w:rFonts w:asciiTheme="minorHAnsi" w:hAnsiTheme="minorHAnsi"/>
        </w:rPr>
        <w:t xml:space="preserve"> 22</w:t>
      </w:r>
    </w:p>
    <w:p w:rsidR="00887AA0" w:rsidRPr="00BE35C0" w:rsidRDefault="00887AA0" w:rsidP="00887AA0">
      <w:r>
        <w:t>Endringen klargjør at ansvarsbestemme</w:t>
      </w:r>
      <w:r w:rsidR="001F5622">
        <w:t>ls</w:t>
      </w:r>
      <w:r>
        <w:t xml:space="preserve">en gjelder også utsteder av sertifikater som ikke utgis for å være kvalifiserte når signaturen brukes i </w:t>
      </w:r>
      <w:r w:rsidR="001F5622">
        <w:t>forbindelse</w:t>
      </w:r>
      <w:r>
        <w:t xml:space="preserve"> med tinglysing og elektroniske tvangsgrunnlag, se ovenfor i XX. </w:t>
      </w:r>
    </w:p>
    <w:p w:rsidR="00C36B0E" w:rsidRPr="00BE35C0" w:rsidRDefault="00C36B0E" w:rsidP="006C313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7"/>
          <w:szCs w:val="27"/>
        </w:rPr>
      </w:pPr>
      <w:r w:rsidRPr="00BE35C0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LOV 2003-06-06 nr 39: Lov om burettslag (burettslagslova)</w:t>
      </w:r>
    </w:p>
    <w:p w:rsidR="00C36B0E" w:rsidRPr="00BE35C0" w:rsidRDefault="00B30A4A" w:rsidP="00E86AA9">
      <w:pPr>
        <w:pStyle w:val="Heading3"/>
        <w:rPr>
          <w:rFonts w:asciiTheme="minorHAnsi" w:hAnsiTheme="minorHAnsi"/>
        </w:rPr>
      </w:pPr>
      <w:bookmarkStart w:id="15" w:name="map001"/>
      <w:bookmarkStart w:id="16" w:name="map002"/>
      <w:bookmarkStart w:id="17" w:name="map003"/>
      <w:bookmarkStart w:id="18" w:name="map004"/>
      <w:bookmarkStart w:id="19" w:name="map005"/>
      <w:bookmarkStart w:id="20" w:name="map006"/>
      <w:bookmarkStart w:id="21" w:name="map007"/>
      <w:bookmarkStart w:id="22" w:name="map008"/>
      <w:bookmarkStart w:id="23" w:name="map009"/>
      <w:bookmarkStart w:id="24" w:name="map010"/>
      <w:bookmarkStart w:id="25" w:name="map011"/>
      <w:bookmarkStart w:id="26" w:name="map012"/>
      <w:bookmarkStart w:id="27" w:name="map013"/>
      <w:bookmarkStart w:id="28" w:name="map014"/>
      <w:bookmarkStart w:id="29" w:name="map015"/>
      <w:bookmarkStart w:id="30" w:name="map016"/>
      <w:bookmarkStart w:id="31" w:name="map017"/>
      <w:bookmarkStart w:id="32" w:name="map018"/>
      <w:bookmarkStart w:id="33" w:name="map019"/>
      <w:bookmarkStart w:id="34" w:name="map02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2-13</w:t>
      </w:r>
    </w:p>
    <w:p w:rsidR="00887AA0" w:rsidRDefault="00887AA0" w:rsidP="00887AA0">
      <w:r>
        <w:t>Innføring av ny terminologi.</w:t>
      </w:r>
    </w:p>
    <w:p w:rsidR="00C36B0E" w:rsidRPr="00BE35C0" w:rsidRDefault="00B30A4A" w:rsidP="00D90315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962B07">
        <w:rPr>
          <w:rFonts w:asciiTheme="minorHAnsi" w:hAnsiTheme="minorHAnsi"/>
        </w:rPr>
        <w:t xml:space="preserve"> 6-1</w:t>
      </w:r>
    </w:p>
    <w:p w:rsidR="00887AA0" w:rsidRDefault="00887AA0" w:rsidP="00887AA0">
      <w:bookmarkStart w:id="35" w:name="6-1"/>
      <w:bookmarkStart w:id="36" w:name="6-2"/>
      <w:bookmarkEnd w:id="35"/>
      <w:bookmarkEnd w:id="36"/>
      <w:r>
        <w:t>Innføring av ny terminologi.</w:t>
      </w:r>
    </w:p>
    <w:p w:rsidR="00962B07" w:rsidRPr="00BE35C0" w:rsidRDefault="00B30A4A" w:rsidP="00962B0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962B07">
        <w:rPr>
          <w:rFonts w:asciiTheme="minorHAnsi" w:hAnsiTheme="minorHAnsi"/>
        </w:rPr>
        <w:t xml:space="preserve"> 6-2</w:t>
      </w:r>
    </w:p>
    <w:p w:rsidR="00887AA0" w:rsidRDefault="00887AA0" w:rsidP="00887AA0">
      <w:bookmarkStart w:id="37" w:name="6-3"/>
      <w:bookmarkEnd w:id="37"/>
      <w:r>
        <w:t>Innføring av ny terminologi.</w:t>
      </w:r>
    </w:p>
    <w:p w:rsidR="00962B07" w:rsidRPr="00BE35C0" w:rsidRDefault="00B30A4A" w:rsidP="00962B0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962B07">
        <w:rPr>
          <w:rFonts w:asciiTheme="minorHAnsi" w:hAnsiTheme="minorHAnsi"/>
        </w:rPr>
        <w:t xml:space="preserve"> 6-3</w:t>
      </w:r>
    </w:p>
    <w:p w:rsidR="00887AA0" w:rsidRDefault="00887AA0" w:rsidP="00887AA0">
      <w:bookmarkStart w:id="38" w:name="6-4"/>
      <w:bookmarkEnd w:id="38"/>
      <w:r>
        <w:t>Innføring av ny terminologi.</w:t>
      </w:r>
    </w:p>
    <w:p w:rsidR="00962B07" w:rsidRDefault="00B30A4A" w:rsidP="00962B0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962B07">
        <w:rPr>
          <w:rFonts w:asciiTheme="minorHAnsi" w:hAnsiTheme="minorHAnsi"/>
        </w:rPr>
        <w:t xml:space="preserve"> 6-4</w:t>
      </w:r>
    </w:p>
    <w:p w:rsidR="00887AA0" w:rsidRPr="00BE35C0" w:rsidRDefault="00887AA0" w:rsidP="00887AA0">
      <w:r>
        <w:t xml:space="preserve">Bestemmelsen er endret for å korrespondere med § 7 i utkastet til endringer i </w:t>
      </w:r>
      <w:r w:rsidR="001F5622">
        <w:t>tinglysingsloven</w:t>
      </w:r>
      <w:r>
        <w:t>.</w:t>
      </w:r>
    </w:p>
    <w:p w:rsidR="001D618F" w:rsidRPr="00BE35C0" w:rsidRDefault="00B30A4A" w:rsidP="001D618F">
      <w:pPr>
        <w:pStyle w:val="Heading3"/>
        <w:rPr>
          <w:rFonts w:asciiTheme="minorHAnsi" w:hAnsiTheme="minorHAnsi"/>
        </w:rPr>
      </w:pPr>
      <w:bookmarkStart w:id="39" w:name="6-5"/>
      <w:bookmarkEnd w:id="39"/>
      <w:r>
        <w:rPr>
          <w:rFonts w:asciiTheme="minorHAnsi" w:hAnsiTheme="minorHAnsi"/>
        </w:rPr>
        <w:t>Til §</w:t>
      </w:r>
      <w:r w:rsidR="001D618F">
        <w:rPr>
          <w:rFonts w:asciiTheme="minorHAnsi" w:hAnsiTheme="minorHAnsi"/>
        </w:rPr>
        <w:t xml:space="preserve"> 6-5</w:t>
      </w:r>
    </w:p>
    <w:p w:rsidR="00887AA0" w:rsidRPr="00BE35C0" w:rsidRDefault="00887AA0" w:rsidP="00887AA0">
      <w:bookmarkStart w:id="40" w:name="6-6"/>
      <w:bookmarkEnd w:id="40"/>
      <w:r>
        <w:t xml:space="preserve">Bestemmelsen er endret for å korrespondere med § 20 i utkastet til endringer i </w:t>
      </w:r>
      <w:r w:rsidR="001F5622">
        <w:t>tinglysingsloven</w:t>
      </w:r>
      <w:r>
        <w:t>.</w:t>
      </w:r>
    </w:p>
    <w:p w:rsidR="001D618F" w:rsidRPr="00BE35C0" w:rsidRDefault="00B30A4A" w:rsidP="001D618F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1D618F">
        <w:rPr>
          <w:rFonts w:asciiTheme="minorHAnsi" w:hAnsiTheme="minorHAnsi"/>
        </w:rPr>
        <w:t xml:space="preserve"> 6-6</w:t>
      </w:r>
    </w:p>
    <w:p w:rsidR="00887AA0" w:rsidRDefault="00887AA0" w:rsidP="00887AA0">
      <w:bookmarkStart w:id="41" w:name="6-7"/>
      <w:bookmarkStart w:id="42" w:name="6-8"/>
      <w:bookmarkStart w:id="43" w:name="6-9"/>
      <w:bookmarkStart w:id="44" w:name="6-10"/>
      <w:bookmarkStart w:id="45" w:name="6-11"/>
      <w:bookmarkEnd w:id="41"/>
      <w:bookmarkEnd w:id="42"/>
      <w:bookmarkEnd w:id="43"/>
      <w:bookmarkEnd w:id="44"/>
      <w:bookmarkEnd w:id="45"/>
      <w:r>
        <w:lastRenderedPageBreak/>
        <w:t>Innføring av ny terminologi.</w:t>
      </w:r>
    </w:p>
    <w:p w:rsidR="00810B3A" w:rsidRPr="00BE35C0" w:rsidRDefault="00B30A4A" w:rsidP="00810B3A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810B3A">
        <w:rPr>
          <w:rFonts w:asciiTheme="minorHAnsi" w:hAnsiTheme="minorHAnsi"/>
        </w:rPr>
        <w:t xml:space="preserve"> 6-11</w:t>
      </w:r>
    </w:p>
    <w:p w:rsidR="00887AA0" w:rsidRPr="00BE35C0" w:rsidRDefault="00887AA0" w:rsidP="00887AA0">
      <w:bookmarkStart w:id="46" w:name="6-12"/>
      <w:bookmarkEnd w:id="46"/>
      <w:r>
        <w:t xml:space="preserve">Bestemmelsen er endret for å korrespondere med § 23 i utkastet til endringer i </w:t>
      </w:r>
      <w:r w:rsidR="001F5622">
        <w:t>tinglysingsloven</w:t>
      </w:r>
      <w:r>
        <w:t>.</w:t>
      </w:r>
    </w:p>
    <w:p w:rsidR="00810B3A" w:rsidRPr="00BE35C0" w:rsidRDefault="00B30A4A" w:rsidP="00810B3A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810B3A">
        <w:rPr>
          <w:rFonts w:asciiTheme="minorHAnsi" w:hAnsiTheme="minorHAnsi"/>
        </w:rPr>
        <w:t xml:space="preserve"> 6-12</w:t>
      </w:r>
    </w:p>
    <w:p w:rsidR="00887AA0" w:rsidRDefault="00887AA0" w:rsidP="00887AA0">
      <w:bookmarkStart w:id="47" w:name="6-13"/>
      <w:bookmarkEnd w:id="47"/>
      <w:r>
        <w:t>Innføring av ny terminologi.</w:t>
      </w:r>
    </w:p>
    <w:p w:rsidR="00810B3A" w:rsidRPr="00BE35C0" w:rsidRDefault="00B30A4A" w:rsidP="00810B3A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810B3A">
        <w:rPr>
          <w:rFonts w:asciiTheme="minorHAnsi" w:hAnsiTheme="minorHAnsi"/>
        </w:rPr>
        <w:t xml:space="preserve"> 6-13</w:t>
      </w:r>
    </w:p>
    <w:p w:rsidR="00887AA0" w:rsidRDefault="00887AA0" w:rsidP="00887AA0">
      <w:bookmarkStart w:id="48" w:name="6-14"/>
      <w:bookmarkStart w:id="49" w:name="6-15"/>
      <w:bookmarkStart w:id="50" w:name="6-16"/>
      <w:bookmarkStart w:id="51" w:name="6-17"/>
      <w:bookmarkEnd w:id="48"/>
      <w:bookmarkEnd w:id="49"/>
      <w:bookmarkEnd w:id="50"/>
      <w:bookmarkEnd w:id="51"/>
      <w:r>
        <w:t>Innføring av ny terminologi.</w:t>
      </w:r>
    </w:p>
    <w:p w:rsidR="00810B3A" w:rsidRPr="00BE35C0" w:rsidRDefault="00B30A4A" w:rsidP="00810B3A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810B3A">
        <w:rPr>
          <w:rFonts w:asciiTheme="minorHAnsi" w:hAnsiTheme="minorHAnsi"/>
        </w:rPr>
        <w:t xml:space="preserve"> 6-17</w:t>
      </w:r>
    </w:p>
    <w:p w:rsidR="00887AA0" w:rsidRPr="00BE35C0" w:rsidRDefault="00887AA0" w:rsidP="00887AA0">
      <w:r>
        <w:t>Bestemmelsen er endret for å korrespondere med § 3</w:t>
      </w:r>
      <w:r w:rsidR="00BB1A9C">
        <w:t>5</w:t>
      </w:r>
      <w:r>
        <w:t xml:space="preserve"> i utkastet til endringer i </w:t>
      </w:r>
      <w:r w:rsidR="001F5622">
        <w:t>tinglysingsloven</w:t>
      </w:r>
      <w:r>
        <w:t>.</w:t>
      </w:r>
    </w:p>
    <w:p w:rsidR="00C36B0E" w:rsidRPr="00BE35C0" w:rsidRDefault="00B30A4A" w:rsidP="000F1D44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13-5</w:t>
      </w:r>
    </w:p>
    <w:p w:rsidR="00205060" w:rsidRDefault="00205060" w:rsidP="00205060">
      <w:bookmarkStart w:id="52" w:name="map021"/>
      <w:bookmarkStart w:id="53" w:name="14-9"/>
      <w:bookmarkEnd w:id="52"/>
      <w:bookmarkEnd w:id="53"/>
      <w:r>
        <w:t>Innføring av ny terminologi. Det er også tatt høyde for at panteretter ikke nødvendigvis vil være dokumentert på papir etter forslaget.</w:t>
      </w:r>
    </w:p>
    <w:p w:rsidR="00C36B0E" w:rsidRPr="00BE35C0" w:rsidRDefault="00B30A4A" w:rsidP="000F1D44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14-5</w:t>
      </w:r>
    </w:p>
    <w:p w:rsidR="007B1891" w:rsidRDefault="007B1891" w:rsidP="007B1891">
      <w:r>
        <w:t>Innføring av ny terminologi.</w:t>
      </w:r>
    </w:p>
    <w:p w:rsidR="00C36B0E" w:rsidRPr="00BE35C0" w:rsidRDefault="00B30A4A" w:rsidP="000F1D44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Til §</w:t>
      </w:r>
      <w:r w:rsidR="00C36B0E" w:rsidRPr="00BE35C0">
        <w:rPr>
          <w:rFonts w:asciiTheme="minorHAnsi" w:hAnsiTheme="minorHAnsi"/>
        </w:rPr>
        <w:t xml:space="preserve"> 14-9</w:t>
      </w:r>
    </w:p>
    <w:p w:rsidR="007B1891" w:rsidRDefault="007B1891" w:rsidP="007B1891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F54F7D">
        <w:rPr>
          <w:rFonts w:asciiTheme="minorHAnsi" w:hAnsiTheme="minorHAnsi" w:cs="Helvetica"/>
        </w:rPr>
        <w:t>LOV 2005-06-17 nr 85: Lov om rettsforhold og forvaltning av grunn og naturressurser i Finnmark fylke (finnmarksloven)</w:t>
      </w:r>
    </w:p>
    <w:p w:rsidR="00C36B0E" w:rsidRDefault="00B30A4A" w:rsidP="00F54F7D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49 første ledd</w:t>
      </w:r>
    </w:p>
    <w:p w:rsidR="007B1891" w:rsidRDefault="007B1891" w:rsidP="007B1891">
      <w:bookmarkStart w:id="54" w:name="14-10"/>
      <w:bookmarkEnd w:id="54"/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F464FF">
        <w:rPr>
          <w:rFonts w:asciiTheme="minorHAnsi" w:hAnsiTheme="minorHAnsi" w:cs="Helvetica"/>
        </w:rPr>
        <w:t>LOV 2005-06-17 nr 101: Lov om eigedomsregistrering (matrikkellova)</w:t>
      </w:r>
    </w:p>
    <w:p w:rsidR="00C36B0E" w:rsidRDefault="00B30A4A" w:rsidP="00F464FF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7</w:t>
      </w:r>
    </w:p>
    <w:p w:rsidR="007B1891" w:rsidRDefault="007B1891" w:rsidP="007B1891">
      <w:r>
        <w:t>Innføring av ny terminologi.</w:t>
      </w:r>
    </w:p>
    <w:p w:rsidR="00C36B0E" w:rsidRDefault="00B30A4A" w:rsidP="00F464FF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8</w:t>
      </w:r>
    </w:p>
    <w:p w:rsidR="007B1891" w:rsidRDefault="007B1891" w:rsidP="007B1891">
      <w:r>
        <w:lastRenderedPageBreak/>
        <w:t>Innføring av ny terminologi.</w:t>
      </w:r>
    </w:p>
    <w:p w:rsidR="00C36B0E" w:rsidRDefault="00B30A4A" w:rsidP="00F464FF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9</w:t>
      </w:r>
    </w:p>
    <w:p w:rsidR="007B1891" w:rsidRDefault="007B1891" w:rsidP="007B1891">
      <w:r>
        <w:t>Innføring av ny terminologi.</w:t>
      </w:r>
    </w:p>
    <w:p w:rsidR="00C36B0E" w:rsidRDefault="00B30A4A" w:rsidP="00F464FF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17 skal lyde;</w:t>
      </w:r>
    </w:p>
    <w:p w:rsidR="007B1891" w:rsidRDefault="007B1891" w:rsidP="007B1891">
      <w:r>
        <w:t>Innføring av ny terminologi.</w:t>
      </w:r>
    </w:p>
    <w:p w:rsidR="00C36B0E" w:rsidRDefault="00B30A4A" w:rsidP="00762E69">
      <w:pPr>
        <w:pStyle w:val="Heading3"/>
        <w:rPr>
          <w:rFonts w:cs="Helvetica"/>
        </w:rPr>
      </w:pPr>
      <w:r>
        <w:rPr>
          <w:rFonts w:cs="Helvetica"/>
        </w:rPr>
        <w:t>Til §</w:t>
      </w:r>
      <w:r w:rsidR="00C36B0E">
        <w:rPr>
          <w:rFonts w:cs="Helvetica"/>
        </w:rPr>
        <w:t xml:space="preserve"> 18</w:t>
      </w:r>
    </w:p>
    <w:p w:rsidR="007B1891" w:rsidRDefault="007B1891" w:rsidP="007B1891">
      <w:r>
        <w:t>Innføring av ny terminologi.</w:t>
      </w:r>
    </w:p>
    <w:p w:rsidR="00C36B0E" w:rsidRDefault="00B30A4A" w:rsidP="00F464FF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24</w:t>
      </w:r>
    </w:p>
    <w:p w:rsidR="007B1891" w:rsidRDefault="007B1891" w:rsidP="007B1891">
      <w:r>
        <w:t>Innføring av ny terminologi.</w:t>
      </w:r>
    </w:p>
    <w:p w:rsidR="00C36B0E" w:rsidRDefault="00B30A4A" w:rsidP="00F464FF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26</w:t>
      </w:r>
    </w:p>
    <w:p w:rsidR="007B1891" w:rsidRDefault="007B1891" w:rsidP="007B1891">
      <w:r>
        <w:t>Innføring av ny terminologi.</w:t>
      </w:r>
    </w:p>
    <w:p w:rsidR="00C36B0E" w:rsidRPr="00BE35C0" w:rsidRDefault="00C36B0E" w:rsidP="0060527F">
      <w:pPr>
        <w:pStyle w:val="Heading2"/>
        <w:rPr>
          <w:rFonts w:asciiTheme="minorHAnsi" w:hAnsiTheme="minorHAnsi"/>
        </w:rPr>
      </w:pPr>
      <w:r w:rsidRPr="00BE35C0">
        <w:rPr>
          <w:rFonts w:asciiTheme="minorHAnsi" w:hAnsiTheme="minorHAnsi"/>
        </w:rPr>
        <w:t>LOV 2005-06-17 nr 79: Lov om akvakultur (akvakulturloven)</w:t>
      </w:r>
    </w:p>
    <w:p w:rsidR="00E60554" w:rsidRPr="00E60554" w:rsidRDefault="00B30A4A" w:rsidP="00E60554">
      <w:pPr>
        <w:pStyle w:val="Heading3"/>
        <w:rPr>
          <w:rFonts w:asciiTheme="minorHAnsi" w:hAnsiTheme="minorHAnsi" w:cs="Helvetica"/>
        </w:rPr>
      </w:pPr>
      <w:bookmarkStart w:id="55" w:name="15"/>
      <w:bookmarkEnd w:id="55"/>
      <w:r>
        <w:rPr>
          <w:rFonts w:asciiTheme="minorHAnsi" w:hAnsiTheme="minorHAnsi" w:cs="Helvetica"/>
        </w:rPr>
        <w:t>Til §</w:t>
      </w:r>
      <w:r w:rsidR="00E60554" w:rsidRPr="00E60554">
        <w:rPr>
          <w:rFonts w:asciiTheme="minorHAnsi" w:hAnsiTheme="minorHAnsi" w:cs="Helvetica"/>
        </w:rPr>
        <w:t xml:space="preserve"> 18</w:t>
      </w:r>
    </w:p>
    <w:p w:rsidR="00E60554" w:rsidRDefault="00887AA0" w:rsidP="00E60554">
      <w:r>
        <w:t>Endringen klargjør at innføring av elektronisk tinglysing ikke gjelder petroleumsregisteret, selv om tinglysingslovens regler ellers gjelder for dette registeret.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E40A96">
        <w:rPr>
          <w:rFonts w:asciiTheme="minorHAnsi" w:hAnsiTheme="minorHAnsi" w:cs="Helvetica"/>
        </w:rPr>
        <w:t>LOV 2007-06-29 nr 81: Lov om samvirkeforetak (samvirkelova)</w:t>
      </w:r>
    </w:p>
    <w:p w:rsidR="00C36B0E" w:rsidRDefault="00B30A4A" w:rsidP="00E40A96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21</w:t>
      </w:r>
    </w:p>
    <w:p w:rsidR="007B1891" w:rsidRDefault="007B1891" w:rsidP="007B1891">
      <w:r>
        <w:t>Innføring av ny terminologi.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9F5EA0">
        <w:rPr>
          <w:rFonts w:asciiTheme="minorHAnsi" w:hAnsiTheme="minorHAnsi" w:cs="Helvetica"/>
        </w:rPr>
        <w:t>LOV 2008-06-27 nr 71: Lov om planlegging og byggesaksbehandling (plan- og bygningsloven)</w:t>
      </w:r>
    </w:p>
    <w:p w:rsidR="00C36B0E" w:rsidRDefault="00B30A4A" w:rsidP="009F5EA0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27-1 første ledd</w:t>
      </w:r>
    </w:p>
    <w:p w:rsidR="00C36B0E" w:rsidRPr="007B1891" w:rsidRDefault="007B1891" w:rsidP="007B1891">
      <w:r w:rsidRPr="007B1891">
        <w:rPr>
          <w:rFonts w:cs="Helvetica"/>
        </w:rPr>
        <w:t xml:space="preserve">Bestemmelsen er </w:t>
      </w:r>
      <w:r>
        <w:rPr>
          <w:rFonts w:cs="Helvetica"/>
        </w:rPr>
        <w:t xml:space="preserve">med tanke på at den </w:t>
      </w:r>
      <w:r w:rsidR="001F5622">
        <w:rPr>
          <w:rFonts w:cs="Helvetica"/>
        </w:rPr>
        <w:t>tinglyste</w:t>
      </w:r>
      <w:r>
        <w:rPr>
          <w:rFonts w:cs="Helvetica"/>
        </w:rPr>
        <w:t xml:space="preserve"> </w:t>
      </w:r>
      <w:r w:rsidR="001F5622">
        <w:rPr>
          <w:rFonts w:cs="Helvetica"/>
        </w:rPr>
        <w:t>erklæringen</w:t>
      </w:r>
      <w:r>
        <w:rPr>
          <w:rFonts w:cs="Helvetica"/>
        </w:rPr>
        <w:t xml:space="preserve"> som omtales, etter forslaget ikke behøver å være på papir.</w:t>
      </w:r>
    </w:p>
    <w:p w:rsidR="00C36B0E" w:rsidRDefault="00B30A4A" w:rsidP="009F5EA0">
      <w:pPr>
        <w:pStyle w:val="Heading3"/>
        <w:rPr>
          <w:rFonts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27-2 første ledd</w:t>
      </w:r>
    </w:p>
    <w:p w:rsidR="007B1891" w:rsidRPr="007B1891" w:rsidRDefault="007B1891" w:rsidP="007B1891">
      <w:r w:rsidRPr="007B1891">
        <w:rPr>
          <w:rFonts w:cs="Helvetica"/>
        </w:rPr>
        <w:lastRenderedPageBreak/>
        <w:t xml:space="preserve">Bestemmelsen er </w:t>
      </w:r>
      <w:r>
        <w:rPr>
          <w:rFonts w:cs="Helvetica"/>
        </w:rPr>
        <w:t xml:space="preserve">med tanke på at den </w:t>
      </w:r>
      <w:r w:rsidR="001F5622">
        <w:rPr>
          <w:rFonts w:cs="Helvetica"/>
        </w:rPr>
        <w:t>tinglyste</w:t>
      </w:r>
      <w:r>
        <w:rPr>
          <w:rFonts w:cs="Helvetica"/>
        </w:rPr>
        <w:t xml:space="preserve"> </w:t>
      </w:r>
      <w:r w:rsidR="001F5622">
        <w:rPr>
          <w:rFonts w:cs="Helvetica"/>
        </w:rPr>
        <w:t>erklæringen</w:t>
      </w:r>
      <w:r>
        <w:rPr>
          <w:rFonts w:cs="Helvetica"/>
        </w:rPr>
        <w:t xml:space="preserve"> som omtales, etter forslaget ikke behøver å være på papir.</w:t>
      </w:r>
    </w:p>
    <w:p w:rsidR="00C36B0E" w:rsidRDefault="00B30A4A" w:rsidP="009F5EA0">
      <w:pPr>
        <w:pStyle w:val="Heading3"/>
        <w:rPr>
          <w:rFonts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27-4 første ledd</w:t>
      </w:r>
    </w:p>
    <w:p w:rsidR="007B1891" w:rsidRPr="007B1891" w:rsidRDefault="007B1891" w:rsidP="007B1891">
      <w:r w:rsidRPr="007B1891">
        <w:rPr>
          <w:rFonts w:cs="Helvetica"/>
        </w:rPr>
        <w:t xml:space="preserve">Bestemmelsen er </w:t>
      </w:r>
      <w:r>
        <w:rPr>
          <w:rFonts w:cs="Helvetica"/>
        </w:rPr>
        <w:t xml:space="preserve">med tanke på at den </w:t>
      </w:r>
      <w:r w:rsidR="001F5622">
        <w:rPr>
          <w:rFonts w:cs="Helvetica"/>
        </w:rPr>
        <w:t>tinglyste</w:t>
      </w:r>
      <w:r>
        <w:rPr>
          <w:rFonts w:cs="Helvetica"/>
        </w:rPr>
        <w:t xml:space="preserve"> </w:t>
      </w:r>
      <w:r w:rsidR="001F5622">
        <w:rPr>
          <w:rFonts w:cs="Helvetica"/>
        </w:rPr>
        <w:t>erklæringen</w:t>
      </w:r>
      <w:r>
        <w:rPr>
          <w:rFonts w:cs="Helvetica"/>
        </w:rPr>
        <w:t xml:space="preserve"> som omtales, etter forslaget ikke behøver å være på papir.</w:t>
      </w:r>
    </w:p>
    <w:p w:rsidR="00C36B0E" w:rsidRDefault="00C36B0E" w:rsidP="00C14644">
      <w:pPr>
        <w:pStyle w:val="Heading2"/>
        <w:rPr>
          <w:rFonts w:asciiTheme="minorHAnsi" w:hAnsiTheme="minorHAnsi" w:cs="Helvetica"/>
        </w:rPr>
      </w:pPr>
      <w:r w:rsidRPr="00EA489C">
        <w:rPr>
          <w:rFonts w:asciiTheme="minorHAnsi" w:hAnsiTheme="minorHAnsi" w:cs="Helvetica"/>
        </w:rPr>
        <w:t>LOV 2009-06-19 nr 101: Lov om erverv og utvinning av mineralressurser (mineralloven)</w:t>
      </w:r>
    </w:p>
    <w:p w:rsidR="00C36B0E" w:rsidRDefault="00B30A4A" w:rsidP="00DC6C39">
      <w:pPr>
        <w:pStyle w:val="Heading3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Til §</w:t>
      </w:r>
      <w:r w:rsidR="00C36B0E">
        <w:rPr>
          <w:rFonts w:asciiTheme="minorHAnsi" w:hAnsiTheme="minorHAnsi" w:cs="Helvetica"/>
        </w:rPr>
        <w:t xml:space="preserve"> 36</w:t>
      </w:r>
    </w:p>
    <w:p w:rsidR="007B1891" w:rsidRDefault="007B1891" w:rsidP="007B1891">
      <w:r>
        <w:t>Innføring av ny terminologi.</w:t>
      </w:r>
    </w:p>
    <w:p w:rsidR="001622F2" w:rsidRPr="00BE35C0" w:rsidRDefault="00CF3307" w:rsidP="00EE3E6E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Til overgangsbestemmelsen</w:t>
      </w:r>
    </w:p>
    <w:p w:rsidR="001622F2" w:rsidRPr="00BE35C0" w:rsidRDefault="00FC3634">
      <w:r>
        <w:t>Ikrafttredelsen bør bestemmes i særskiult vedtak for å sikre at de administrative forutsetnigene er på plass før loven trer i kraft, og at publikum er tilstrekkelig informert. For sikkerhets skyld er det att inn en bestemmelse om at om man skulle ha oversett en henvining til (papir)dokumenter i lovgivnigen, så skal ikke dette hindre elektronisk tiglysing. Bestemmelsen overlapper § 6 første ledd siste punktum</w:t>
      </w:r>
      <w:r w:rsidR="008603DB">
        <w:t xml:space="preserve"> i utkastet til endri</w:t>
      </w:r>
      <w:r w:rsidR="00BB1A9C">
        <w:t>n</w:t>
      </w:r>
      <w:r w:rsidR="008603DB">
        <w:t>ger i tinglysingsloven.</w:t>
      </w:r>
    </w:p>
    <w:sectPr w:rsidR="001622F2" w:rsidRPr="00BE35C0" w:rsidSect="005106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EF" w:rsidRDefault="00441CEF" w:rsidP="00B242BF">
      <w:pPr>
        <w:spacing w:after="0" w:line="240" w:lineRule="auto"/>
      </w:pPr>
      <w:r>
        <w:separator/>
      </w:r>
    </w:p>
  </w:endnote>
  <w:endnote w:type="continuationSeparator" w:id="0">
    <w:p w:rsidR="00441CEF" w:rsidRDefault="00441CEF" w:rsidP="00B2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157"/>
      <w:docPartObj>
        <w:docPartGallery w:val="Page Numbers (Bottom of Page)"/>
        <w:docPartUnique/>
      </w:docPartObj>
    </w:sdtPr>
    <w:sdtContent>
      <w:p w:rsidR="00A76406" w:rsidRDefault="00416643">
        <w:pPr>
          <w:pStyle w:val="Footer"/>
        </w:pPr>
        <w:fldSimple w:instr=" PAGE   \* MERGEFORMAT ">
          <w:r w:rsidR="00BB1A9C">
            <w:rPr>
              <w:noProof/>
            </w:rPr>
            <w:t>10</w:t>
          </w:r>
        </w:fldSimple>
      </w:p>
    </w:sdtContent>
  </w:sdt>
  <w:p w:rsidR="00A76406" w:rsidRDefault="00A76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EF" w:rsidRDefault="00441CEF" w:rsidP="00B242BF">
      <w:pPr>
        <w:spacing w:after="0" w:line="240" w:lineRule="auto"/>
      </w:pPr>
      <w:r>
        <w:separator/>
      </w:r>
    </w:p>
  </w:footnote>
  <w:footnote w:type="continuationSeparator" w:id="0">
    <w:p w:rsidR="00441CEF" w:rsidRDefault="00441CEF" w:rsidP="00B2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09D"/>
    <w:multiLevelType w:val="hybridMultilevel"/>
    <w:tmpl w:val="19066EA0"/>
    <w:lvl w:ilvl="0" w:tplc="91B69D1E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D2CA0"/>
    <w:multiLevelType w:val="hybridMultilevel"/>
    <w:tmpl w:val="18421760"/>
    <w:lvl w:ilvl="0" w:tplc="B61611E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305E4E"/>
    <w:multiLevelType w:val="hybridMultilevel"/>
    <w:tmpl w:val="810C2278"/>
    <w:lvl w:ilvl="0" w:tplc="9FECB4E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881"/>
    <w:rsid w:val="00001DCF"/>
    <w:rsid w:val="00002AE3"/>
    <w:rsid w:val="00021658"/>
    <w:rsid w:val="00025616"/>
    <w:rsid w:val="00031EFA"/>
    <w:rsid w:val="000364E4"/>
    <w:rsid w:val="000367E2"/>
    <w:rsid w:val="00037F6A"/>
    <w:rsid w:val="00044E33"/>
    <w:rsid w:val="00047018"/>
    <w:rsid w:val="00050C14"/>
    <w:rsid w:val="0006094D"/>
    <w:rsid w:val="00061574"/>
    <w:rsid w:val="00061FEA"/>
    <w:rsid w:val="00067094"/>
    <w:rsid w:val="00070C9D"/>
    <w:rsid w:val="00071D18"/>
    <w:rsid w:val="0007613A"/>
    <w:rsid w:val="0008395A"/>
    <w:rsid w:val="000871AE"/>
    <w:rsid w:val="0008729C"/>
    <w:rsid w:val="00091AE7"/>
    <w:rsid w:val="0009418A"/>
    <w:rsid w:val="00094811"/>
    <w:rsid w:val="00095CEA"/>
    <w:rsid w:val="00096D15"/>
    <w:rsid w:val="0009766E"/>
    <w:rsid w:val="000A1950"/>
    <w:rsid w:val="000A1F96"/>
    <w:rsid w:val="000C1B95"/>
    <w:rsid w:val="000C46D3"/>
    <w:rsid w:val="000C649D"/>
    <w:rsid w:val="000D175B"/>
    <w:rsid w:val="000D63CB"/>
    <w:rsid w:val="000D6991"/>
    <w:rsid w:val="000E30BF"/>
    <w:rsid w:val="000E4DC2"/>
    <w:rsid w:val="000F1D44"/>
    <w:rsid w:val="000F1E87"/>
    <w:rsid w:val="001161F9"/>
    <w:rsid w:val="00117496"/>
    <w:rsid w:val="00124B51"/>
    <w:rsid w:val="00124B74"/>
    <w:rsid w:val="001311DD"/>
    <w:rsid w:val="00135E69"/>
    <w:rsid w:val="001411AB"/>
    <w:rsid w:val="001467D9"/>
    <w:rsid w:val="00154562"/>
    <w:rsid w:val="001622F2"/>
    <w:rsid w:val="00171CF4"/>
    <w:rsid w:val="00172551"/>
    <w:rsid w:val="0018635C"/>
    <w:rsid w:val="00186630"/>
    <w:rsid w:val="00187A40"/>
    <w:rsid w:val="001908D8"/>
    <w:rsid w:val="0019183D"/>
    <w:rsid w:val="0019271D"/>
    <w:rsid w:val="00192CCA"/>
    <w:rsid w:val="001A523D"/>
    <w:rsid w:val="001A69E7"/>
    <w:rsid w:val="001A760A"/>
    <w:rsid w:val="001B2B13"/>
    <w:rsid w:val="001B5662"/>
    <w:rsid w:val="001B5A93"/>
    <w:rsid w:val="001C376A"/>
    <w:rsid w:val="001D2DA1"/>
    <w:rsid w:val="001D618F"/>
    <w:rsid w:val="001D6EBC"/>
    <w:rsid w:val="001F1545"/>
    <w:rsid w:val="001F39E8"/>
    <w:rsid w:val="001F5622"/>
    <w:rsid w:val="001F6610"/>
    <w:rsid w:val="002014EA"/>
    <w:rsid w:val="00201F85"/>
    <w:rsid w:val="00205060"/>
    <w:rsid w:val="00205AA9"/>
    <w:rsid w:val="00206ACF"/>
    <w:rsid w:val="00206F34"/>
    <w:rsid w:val="00210082"/>
    <w:rsid w:val="002102DE"/>
    <w:rsid w:val="00211339"/>
    <w:rsid w:val="00212EB0"/>
    <w:rsid w:val="002138E0"/>
    <w:rsid w:val="00217455"/>
    <w:rsid w:val="002227C0"/>
    <w:rsid w:val="00222CDE"/>
    <w:rsid w:val="00226E9F"/>
    <w:rsid w:val="00227195"/>
    <w:rsid w:val="002376B1"/>
    <w:rsid w:val="00254750"/>
    <w:rsid w:val="002703CC"/>
    <w:rsid w:val="00274156"/>
    <w:rsid w:val="00275621"/>
    <w:rsid w:val="0028057A"/>
    <w:rsid w:val="0028129A"/>
    <w:rsid w:val="002865FA"/>
    <w:rsid w:val="00286CF7"/>
    <w:rsid w:val="002871F6"/>
    <w:rsid w:val="00292D3C"/>
    <w:rsid w:val="002A4D22"/>
    <w:rsid w:val="002B5072"/>
    <w:rsid w:val="002B76EC"/>
    <w:rsid w:val="002C04FD"/>
    <w:rsid w:val="002C0A7C"/>
    <w:rsid w:val="002D306F"/>
    <w:rsid w:val="002E0E31"/>
    <w:rsid w:val="002E6774"/>
    <w:rsid w:val="002F1155"/>
    <w:rsid w:val="002F1FA0"/>
    <w:rsid w:val="002F20B4"/>
    <w:rsid w:val="003006B0"/>
    <w:rsid w:val="003036D2"/>
    <w:rsid w:val="0030509C"/>
    <w:rsid w:val="00306339"/>
    <w:rsid w:val="0031589D"/>
    <w:rsid w:val="00321B94"/>
    <w:rsid w:val="00321C7C"/>
    <w:rsid w:val="00327B6F"/>
    <w:rsid w:val="00330462"/>
    <w:rsid w:val="00334651"/>
    <w:rsid w:val="00341D59"/>
    <w:rsid w:val="00346413"/>
    <w:rsid w:val="00347102"/>
    <w:rsid w:val="0035356F"/>
    <w:rsid w:val="003541F2"/>
    <w:rsid w:val="0035774E"/>
    <w:rsid w:val="00361202"/>
    <w:rsid w:val="003713FA"/>
    <w:rsid w:val="0037692A"/>
    <w:rsid w:val="00380220"/>
    <w:rsid w:val="003829ED"/>
    <w:rsid w:val="00393F0A"/>
    <w:rsid w:val="003965FF"/>
    <w:rsid w:val="003A53B1"/>
    <w:rsid w:val="003A544D"/>
    <w:rsid w:val="003A6038"/>
    <w:rsid w:val="003A6AAB"/>
    <w:rsid w:val="003B271E"/>
    <w:rsid w:val="003C160B"/>
    <w:rsid w:val="003C1FAB"/>
    <w:rsid w:val="003D1D23"/>
    <w:rsid w:val="003D46E8"/>
    <w:rsid w:val="003E153E"/>
    <w:rsid w:val="003E7C3F"/>
    <w:rsid w:val="00402995"/>
    <w:rsid w:val="00402F0B"/>
    <w:rsid w:val="00414877"/>
    <w:rsid w:val="004156E6"/>
    <w:rsid w:val="00416643"/>
    <w:rsid w:val="00417383"/>
    <w:rsid w:val="004173FE"/>
    <w:rsid w:val="00430AE0"/>
    <w:rsid w:val="004340E9"/>
    <w:rsid w:val="004342F7"/>
    <w:rsid w:val="004413FE"/>
    <w:rsid w:val="00441CEF"/>
    <w:rsid w:val="004426E6"/>
    <w:rsid w:val="00451EF5"/>
    <w:rsid w:val="0045699C"/>
    <w:rsid w:val="00462AC7"/>
    <w:rsid w:val="0046398C"/>
    <w:rsid w:val="004639F3"/>
    <w:rsid w:val="004768C7"/>
    <w:rsid w:val="00481A31"/>
    <w:rsid w:val="00486567"/>
    <w:rsid w:val="00493499"/>
    <w:rsid w:val="00497D2B"/>
    <w:rsid w:val="004A7DBB"/>
    <w:rsid w:val="004B57A1"/>
    <w:rsid w:val="004B743C"/>
    <w:rsid w:val="004B78B6"/>
    <w:rsid w:val="004C0C30"/>
    <w:rsid w:val="004D5C90"/>
    <w:rsid w:val="004D62CA"/>
    <w:rsid w:val="004F093D"/>
    <w:rsid w:val="004F4611"/>
    <w:rsid w:val="00504BFA"/>
    <w:rsid w:val="005054FF"/>
    <w:rsid w:val="005106BE"/>
    <w:rsid w:val="00514857"/>
    <w:rsid w:val="00517CA1"/>
    <w:rsid w:val="0052278A"/>
    <w:rsid w:val="0052495D"/>
    <w:rsid w:val="00531C31"/>
    <w:rsid w:val="00541322"/>
    <w:rsid w:val="005440F2"/>
    <w:rsid w:val="00556D90"/>
    <w:rsid w:val="005607F9"/>
    <w:rsid w:val="00561E2A"/>
    <w:rsid w:val="00562EBF"/>
    <w:rsid w:val="00571DD1"/>
    <w:rsid w:val="0057286C"/>
    <w:rsid w:val="00580135"/>
    <w:rsid w:val="005815E0"/>
    <w:rsid w:val="0058764F"/>
    <w:rsid w:val="005876B1"/>
    <w:rsid w:val="005910C3"/>
    <w:rsid w:val="00591D41"/>
    <w:rsid w:val="005B1C3B"/>
    <w:rsid w:val="005B1F0F"/>
    <w:rsid w:val="005B2C24"/>
    <w:rsid w:val="005C26ED"/>
    <w:rsid w:val="005C5377"/>
    <w:rsid w:val="005D40A9"/>
    <w:rsid w:val="005E1970"/>
    <w:rsid w:val="005E3855"/>
    <w:rsid w:val="005E5169"/>
    <w:rsid w:val="005F017A"/>
    <w:rsid w:val="005F6008"/>
    <w:rsid w:val="0060527F"/>
    <w:rsid w:val="006052A8"/>
    <w:rsid w:val="006061F6"/>
    <w:rsid w:val="006156E9"/>
    <w:rsid w:val="00617515"/>
    <w:rsid w:val="0062368D"/>
    <w:rsid w:val="00625ED9"/>
    <w:rsid w:val="006422A9"/>
    <w:rsid w:val="0064310B"/>
    <w:rsid w:val="006445FB"/>
    <w:rsid w:val="0064517D"/>
    <w:rsid w:val="00651436"/>
    <w:rsid w:val="006526B9"/>
    <w:rsid w:val="00652822"/>
    <w:rsid w:val="006531DB"/>
    <w:rsid w:val="006553D6"/>
    <w:rsid w:val="0066644A"/>
    <w:rsid w:val="00671C80"/>
    <w:rsid w:val="0067214C"/>
    <w:rsid w:val="0067354C"/>
    <w:rsid w:val="00675BE9"/>
    <w:rsid w:val="00684010"/>
    <w:rsid w:val="006906F1"/>
    <w:rsid w:val="00691A08"/>
    <w:rsid w:val="006A4720"/>
    <w:rsid w:val="006A6452"/>
    <w:rsid w:val="006B1614"/>
    <w:rsid w:val="006B167D"/>
    <w:rsid w:val="006B4099"/>
    <w:rsid w:val="006C3139"/>
    <w:rsid w:val="006C3525"/>
    <w:rsid w:val="006D2042"/>
    <w:rsid w:val="006D3F39"/>
    <w:rsid w:val="006D538F"/>
    <w:rsid w:val="006D659A"/>
    <w:rsid w:val="006D70D4"/>
    <w:rsid w:val="006D794F"/>
    <w:rsid w:val="006E0BA6"/>
    <w:rsid w:val="006F02C3"/>
    <w:rsid w:val="00704290"/>
    <w:rsid w:val="00707F20"/>
    <w:rsid w:val="007136FE"/>
    <w:rsid w:val="007143AB"/>
    <w:rsid w:val="007159DB"/>
    <w:rsid w:val="00720EE6"/>
    <w:rsid w:val="007211DD"/>
    <w:rsid w:val="00726294"/>
    <w:rsid w:val="00731AAB"/>
    <w:rsid w:val="00732263"/>
    <w:rsid w:val="007342EE"/>
    <w:rsid w:val="00737E5B"/>
    <w:rsid w:val="00743E59"/>
    <w:rsid w:val="00744EE6"/>
    <w:rsid w:val="00751C76"/>
    <w:rsid w:val="00755760"/>
    <w:rsid w:val="00762E69"/>
    <w:rsid w:val="007650FB"/>
    <w:rsid w:val="00771598"/>
    <w:rsid w:val="007721E3"/>
    <w:rsid w:val="007738BD"/>
    <w:rsid w:val="00781318"/>
    <w:rsid w:val="00783A06"/>
    <w:rsid w:val="007907ED"/>
    <w:rsid w:val="007936A2"/>
    <w:rsid w:val="007A0D06"/>
    <w:rsid w:val="007A1A51"/>
    <w:rsid w:val="007A1BE0"/>
    <w:rsid w:val="007A24C9"/>
    <w:rsid w:val="007A5E6F"/>
    <w:rsid w:val="007B0575"/>
    <w:rsid w:val="007B0F16"/>
    <w:rsid w:val="007B1891"/>
    <w:rsid w:val="007B6D02"/>
    <w:rsid w:val="007C7957"/>
    <w:rsid w:val="007E32A5"/>
    <w:rsid w:val="007E428F"/>
    <w:rsid w:val="00802520"/>
    <w:rsid w:val="00805D61"/>
    <w:rsid w:val="008101E7"/>
    <w:rsid w:val="00810B3A"/>
    <w:rsid w:val="00815D16"/>
    <w:rsid w:val="0081682C"/>
    <w:rsid w:val="00816B09"/>
    <w:rsid w:val="008201C1"/>
    <w:rsid w:val="00822698"/>
    <w:rsid w:val="0083353C"/>
    <w:rsid w:val="0084056E"/>
    <w:rsid w:val="0084270E"/>
    <w:rsid w:val="00842AF2"/>
    <w:rsid w:val="00842D5E"/>
    <w:rsid w:val="00845AB0"/>
    <w:rsid w:val="0085093B"/>
    <w:rsid w:val="008514B8"/>
    <w:rsid w:val="00855480"/>
    <w:rsid w:val="00856D1C"/>
    <w:rsid w:val="008603DB"/>
    <w:rsid w:val="008661FC"/>
    <w:rsid w:val="00867ADF"/>
    <w:rsid w:val="0087409A"/>
    <w:rsid w:val="00887AA0"/>
    <w:rsid w:val="008954B7"/>
    <w:rsid w:val="008A1C15"/>
    <w:rsid w:val="008A245C"/>
    <w:rsid w:val="008A4F6C"/>
    <w:rsid w:val="008A54BA"/>
    <w:rsid w:val="008A68BD"/>
    <w:rsid w:val="008B0337"/>
    <w:rsid w:val="008B5146"/>
    <w:rsid w:val="008C1DA0"/>
    <w:rsid w:val="008C4298"/>
    <w:rsid w:val="008D176D"/>
    <w:rsid w:val="008D22ED"/>
    <w:rsid w:val="008D3E6C"/>
    <w:rsid w:val="008D5F5F"/>
    <w:rsid w:val="008E7566"/>
    <w:rsid w:val="009039CA"/>
    <w:rsid w:val="00914397"/>
    <w:rsid w:val="00916E5A"/>
    <w:rsid w:val="00922FF5"/>
    <w:rsid w:val="00925DD4"/>
    <w:rsid w:val="0092762A"/>
    <w:rsid w:val="00932FE0"/>
    <w:rsid w:val="00933046"/>
    <w:rsid w:val="00935473"/>
    <w:rsid w:val="00936537"/>
    <w:rsid w:val="00940046"/>
    <w:rsid w:val="009453D0"/>
    <w:rsid w:val="00953B33"/>
    <w:rsid w:val="00956402"/>
    <w:rsid w:val="00960709"/>
    <w:rsid w:val="00962B07"/>
    <w:rsid w:val="009639B1"/>
    <w:rsid w:val="009655C1"/>
    <w:rsid w:val="009660C6"/>
    <w:rsid w:val="00966E4C"/>
    <w:rsid w:val="00967E59"/>
    <w:rsid w:val="00970C41"/>
    <w:rsid w:val="009751F8"/>
    <w:rsid w:val="00980764"/>
    <w:rsid w:val="00982380"/>
    <w:rsid w:val="009879A3"/>
    <w:rsid w:val="00990690"/>
    <w:rsid w:val="00995508"/>
    <w:rsid w:val="009A1A8E"/>
    <w:rsid w:val="009A675D"/>
    <w:rsid w:val="009B1362"/>
    <w:rsid w:val="009B1542"/>
    <w:rsid w:val="009B1837"/>
    <w:rsid w:val="009C072B"/>
    <w:rsid w:val="009C33C5"/>
    <w:rsid w:val="009D3C62"/>
    <w:rsid w:val="009E14B8"/>
    <w:rsid w:val="009E5924"/>
    <w:rsid w:val="009F35CC"/>
    <w:rsid w:val="009F4F14"/>
    <w:rsid w:val="009F5EA0"/>
    <w:rsid w:val="00A11ACC"/>
    <w:rsid w:val="00A342C7"/>
    <w:rsid w:val="00A4004D"/>
    <w:rsid w:val="00A400C8"/>
    <w:rsid w:val="00A439C1"/>
    <w:rsid w:val="00A479E5"/>
    <w:rsid w:val="00A540FA"/>
    <w:rsid w:val="00A575CA"/>
    <w:rsid w:val="00A61332"/>
    <w:rsid w:val="00A6136F"/>
    <w:rsid w:val="00A635C9"/>
    <w:rsid w:val="00A63ECE"/>
    <w:rsid w:val="00A65E49"/>
    <w:rsid w:val="00A717BA"/>
    <w:rsid w:val="00A72862"/>
    <w:rsid w:val="00A72FD9"/>
    <w:rsid w:val="00A73113"/>
    <w:rsid w:val="00A73D53"/>
    <w:rsid w:val="00A76406"/>
    <w:rsid w:val="00A7670D"/>
    <w:rsid w:val="00A8464C"/>
    <w:rsid w:val="00A92DD7"/>
    <w:rsid w:val="00AA5CD1"/>
    <w:rsid w:val="00AB2D2F"/>
    <w:rsid w:val="00AC4ABE"/>
    <w:rsid w:val="00AC6DD7"/>
    <w:rsid w:val="00AD214D"/>
    <w:rsid w:val="00AD5D7E"/>
    <w:rsid w:val="00AD703F"/>
    <w:rsid w:val="00AE01EA"/>
    <w:rsid w:val="00AE3414"/>
    <w:rsid w:val="00AE6476"/>
    <w:rsid w:val="00AF0C46"/>
    <w:rsid w:val="00AF686C"/>
    <w:rsid w:val="00B026EF"/>
    <w:rsid w:val="00B04B69"/>
    <w:rsid w:val="00B117AA"/>
    <w:rsid w:val="00B12BA5"/>
    <w:rsid w:val="00B242BF"/>
    <w:rsid w:val="00B26C57"/>
    <w:rsid w:val="00B30A4A"/>
    <w:rsid w:val="00B367D5"/>
    <w:rsid w:val="00B37C03"/>
    <w:rsid w:val="00B52171"/>
    <w:rsid w:val="00B52229"/>
    <w:rsid w:val="00B52C4E"/>
    <w:rsid w:val="00B6489F"/>
    <w:rsid w:val="00B8219B"/>
    <w:rsid w:val="00B863ED"/>
    <w:rsid w:val="00B87D5B"/>
    <w:rsid w:val="00B91EA3"/>
    <w:rsid w:val="00BA3AB5"/>
    <w:rsid w:val="00BA4E35"/>
    <w:rsid w:val="00BA71E5"/>
    <w:rsid w:val="00BB0895"/>
    <w:rsid w:val="00BB1A9C"/>
    <w:rsid w:val="00BC39E8"/>
    <w:rsid w:val="00BC4881"/>
    <w:rsid w:val="00BC7613"/>
    <w:rsid w:val="00BD27A1"/>
    <w:rsid w:val="00BD6CFC"/>
    <w:rsid w:val="00BE35C0"/>
    <w:rsid w:val="00BE3B03"/>
    <w:rsid w:val="00BE4DED"/>
    <w:rsid w:val="00BF1BDA"/>
    <w:rsid w:val="00BF2B7F"/>
    <w:rsid w:val="00BF38C5"/>
    <w:rsid w:val="00BF57C6"/>
    <w:rsid w:val="00C01903"/>
    <w:rsid w:val="00C11E2B"/>
    <w:rsid w:val="00C130A5"/>
    <w:rsid w:val="00C14644"/>
    <w:rsid w:val="00C169C1"/>
    <w:rsid w:val="00C24AA7"/>
    <w:rsid w:val="00C271E7"/>
    <w:rsid w:val="00C3055A"/>
    <w:rsid w:val="00C318D9"/>
    <w:rsid w:val="00C36B0E"/>
    <w:rsid w:val="00C41C2B"/>
    <w:rsid w:val="00C521C5"/>
    <w:rsid w:val="00C543F3"/>
    <w:rsid w:val="00C570E0"/>
    <w:rsid w:val="00C61C34"/>
    <w:rsid w:val="00C72D93"/>
    <w:rsid w:val="00C75F79"/>
    <w:rsid w:val="00C864D9"/>
    <w:rsid w:val="00C935E1"/>
    <w:rsid w:val="00C93F9E"/>
    <w:rsid w:val="00CB7747"/>
    <w:rsid w:val="00CC2F79"/>
    <w:rsid w:val="00CD291F"/>
    <w:rsid w:val="00CD4173"/>
    <w:rsid w:val="00CD5069"/>
    <w:rsid w:val="00CE216B"/>
    <w:rsid w:val="00CE3EAC"/>
    <w:rsid w:val="00CE5CA6"/>
    <w:rsid w:val="00CF1447"/>
    <w:rsid w:val="00CF3307"/>
    <w:rsid w:val="00CF42A4"/>
    <w:rsid w:val="00CF5FBB"/>
    <w:rsid w:val="00CF7BFB"/>
    <w:rsid w:val="00D03B5B"/>
    <w:rsid w:val="00D04B8E"/>
    <w:rsid w:val="00D13BDB"/>
    <w:rsid w:val="00D366D6"/>
    <w:rsid w:val="00D43A12"/>
    <w:rsid w:val="00D5187F"/>
    <w:rsid w:val="00D54AE5"/>
    <w:rsid w:val="00D55FAA"/>
    <w:rsid w:val="00D60D47"/>
    <w:rsid w:val="00D62E6E"/>
    <w:rsid w:val="00D72586"/>
    <w:rsid w:val="00D7628F"/>
    <w:rsid w:val="00D85DE6"/>
    <w:rsid w:val="00D867F7"/>
    <w:rsid w:val="00D86D0A"/>
    <w:rsid w:val="00D90315"/>
    <w:rsid w:val="00D9110D"/>
    <w:rsid w:val="00D91F87"/>
    <w:rsid w:val="00D92395"/>
    <w:rsid w:val="00D94DDD"/>
    <w:rsid w:val="00DB088B"/>
    <w:rsid w:val="00DB20C4"/>
    <w:rsid w:val="00DC6C39"/>
    <w:rsid w:val="00DD0BF6"/>
    <w:rsid w:val="00DE4730"/>
    <w:rsid w:val="00DE75B7"/>
    <w:rsid w:val="00DE7B33"/>
    <w:rsid w:val="00DF1F87"/>
    <w:rsid w:val="00DF4824"/>
    <w:rsid w:val="00DF5ED0"/>
    <w:rsid w:val="00E0280C"/>
    <w:rsid w:val="00E1205B"/>
    <w:rsid w:val="00E27F27"/>
    <w:rsid w:val="00E35CE0"/>
    <w:rsid w:val="00E40A96"/>
    <w:rsid w:val="00E522E4"/>
    <w:rsid w:val="00E60554"/>
    <w:rsid w:val="00E62B4F"/>
    <w:rsid w:val="00E65B42"/>
    <w:rsid w:val="00E66C9F"/>
    <w:rsid w:val="00E702C5"/>
    <w:rsid w:val="00E73B30"/>
    <w:rsid w:val="00E76C38"/>
    <w:rsid w:val="00E82804"/>
    <w:rsid w:val="00E85507"/>
    <w:rsid w:val="00E86129"/>
    <w:rsid w:val="00E86AA9"/>
    <w:rsid w:val="00E91E1A"/>
    <w:rsid w:val="00EA1054"/>
    <w:rsid w:val="00EA357E"/>
    <w:rsid w:val="00EA489C"/>
    <w:rsid w:val="00EA4EDD"/>
    <w:rsid w:val="00EB367F"/>
    <w:rsid w:val="00EB412D"/>
    <w:rsid w:val="00EB4B12"/>
    <w:rsid w:val="00EB50E4"/>
    <w:rsid w:val="00EB6707"/>
    <w:rsid w:val="00EC03A3"/>
    <w:rsid w:val="00EC23C1"/>
    <w:rsid w:val="00EC35E3"/>
    <w:rsid w:val="00EC4B32"/>
    <w:rsid w:val="00ED2058"/>
    <w:rsid w:val="00ED6C8E"/>
    <w:rsid w:val="00EE3E6E"/>
    <w:rsid w:val="00EE4076"/>
    <w:rsid w:val="00EE559D"/>
    <w:rsid w:val="00EE5954"/>
    <w:rsid w:val="00EE6C89"/>
    <w:rsid w:val="00EF2435"/>
    <w:rsid w:val="00F01C85"/>
    <w:rsid w:val="00F026E8"/>
    <w:rsid w:val="00F04AA8"/>
    <w:rsid w:val="00F335F7"/>
    <w:rsid w:val="00F34127"/>
    <w:rsid w:val="00F34DBF"/>
    <w:rsid w:val="00F37AA4"/>
    <w:rsid w:val="00F464FF"/>
    <w:rsid w:val="00F5150A"/>
    <w:rsid w:val="00F54F7D"/>
    <w:rsid w:val="00F56B06"/>
    <w:rsid w:val="00F64001"/>
    <w:rsid w:val="00F66725"/>
    <w:rsid w:val="00F7142F"/>
    <w:rsid w:val="00F718F4"/>
    <w:rsid w:val="00F81489"/>
    <w:rsid w:val="00F81DD9"/>
    <w:rsid w:val="00F8569C"/>
    <w:rsid w:val="00F904C4"/>
    <w:rsid w:val="00F947C3"/>
    <w:rsid w:val="00FA2905"/>
    <w:rsid w:val="00FA4268"/>
    <w:rsid w:val="00FB3C88"/>
    <w:rsid w:val="00FB4F54"/>
    <w:rsid w:val="00FB5C4D"/>
    <w:rsid w:val="00FB6154"/>
    <w:rsid w:val="00FC3634"/>
    <w:rsid w:val="00FC4F0A"/>
    <w:rsid w:val="00FC5653"/>
    <w:rsid w:val="00FC638D"/>
    <w:rsid w:val="00FE77CF"/>
    <w:rsid w:val="00FF0FD2"/>
    <w:rsid w:val="00FF2F66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BE"/>
  </w:style>
  <w:style w:type="paragraph" w:styleId="Heading1">
    <w:name w:val="heading 1"/>
    <w:basedOn w:val="Normal"/>
    <w:next w:val="Normal"/>
    <w:link w:val="Heading1Char"/>
    <w:uiPriority w:val="9"/>
    <w:qFormat/>
    <w:rsid w:val="00354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5B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C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55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54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4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2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BF"/>
  </w:style>
  <w:style w:type="paragraph" w:styleId="Footer">
    <w:name w:val="footer"/>
    <w:basedOn w:val="Normal"/>
    <w:link w:val="FooterChar"/>
    <w:uiPriority w:val="99"/>
    <w:unhideWhenUsed/>
    <w:rsid w:val="00B2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BF"/>
  </w:style>
  <w:style w:type="paragraph" w:styleId="DocumentMap">
    <w:name w:val="Document Map"/>
    <w:basedOn w:val="Normal"/>
    <w:link w:val="DocumentMapChar"/>
    <w:uiPriority w:val="99"/>
    <w:semiHidden/>
    <w:unhideWhenUsed/>
    <w:rsid w:val="004A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D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BCBC-D916-4D31-ABE0-C8D5E5E2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10</Pages>
  <Words>1420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Røsæg</dc:creator>
  <cp:keywords/>
  <dc:description/>
  <cp:lastModifiedBy>Erik Røsæg</cp:lastModifiedBy>
  <cp:revision>194</cp:revision>
  <dcterms:created xsi:type="dcterms:W3CDTF">2010-03-08T14:25:00Z</dcterms:created>
  <dcterms:modified xsi:type="dcterms:W3CDTF">2010-03-24T06:25:00Z</dcterms:modified>
</cp:coreProperties>
</file>